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AA" w:rsidRPr="00517F29" w:rsidRDefault="001B45AA" w:rsidP="00C6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sz w:val="24"/>
          <w:szCs w:val="24"/>
        </w:rPr>
      </w:pPr>
      <w:r w:rsidRPr="00517F29">
        <w:rPr>
          <w:b/>
          <w:sz w:val="24"/>
          <w:szCs w:val="24"/>
        </w:rPr>
        <w:t xml:space="preserve">Opći gospodarski podaci </w:t>
      </w:r>
    </w:p>
    <w:p w:rsidR="001B45AA" w:rsidRPr="00517F29" w:rsidRDefault="001B45AA" w:rsidP="001B45AA">
      <w:pPr>
        <w:pStyle w:val="INormal"/>
        <w:rPr>
          <w:sz w:val="24"/>
          <w:szCs w:val="24"/>
          <w:lang w:val="hr-HR"/>
        </w:rPr>
      </w:pPr>
      <w:r w:rsidRPr="00517F29">
        <w:rPr>
          <w:b/>
          <w:sz w:val="24"/>
          <w:szCs w:val="24"/>
          <w:lang w:val="hr-HR"/>
        </w:rPr>
        <w:t>Službeni naziv</w:t>
      </w:r>
      <w:r w:rsidRPr="00517F29">
        <w:rPr>
          <w:b/>
          <w:sz w:val="24"/>
          <w:szCs w:val="24"/>
          <w:lang w:val="hr-HR"/>
        </w:rPr>
        <w:tab/>
      </w:r>
      <w:r w:rsidRPr="00517F29">
        <w:rPr>
          <w:sz w:val="24"/>
          <w:szCs w:val="24"/>
          <w:lang w:val="hr-HR"/>
        </w:rPr>
        <w:t xml:space="preserve">Islamska Republika Iran </w:t>
      </w:r>
    </w:p>
    <w:p w:rsidR="001B45AA" w:rsidRPr="00517F29" w:rsidRDefault="001B45AA" w:rsidP="001B45AA">
      <w:pPr>
        <w:pStyle w:val="INormal"/>
        <w:rPr>
          <w:b/>
          <w:sz w:val="24"/>
          <w:szCs w:val="24"/>
          <w:lang w:val="hr-HR"/>
        </w:rPr>
      </w:pPr>
      <w:r w:rsidRPr="00517F29">
        <w:rPr>
          <w:b/>
          <w:sz w:val="24"/>
          <w:szCs w:val="24"/>
          <w:lang w:val="hr-HR"/>
        </w:rPr>
        <w:t xml:space="preserve">Glavni grad </w:t>
      </w:r>
      <w:r w:rsidRPr="00517F29">
        <w:rPr>
          <w:b/>
          <w:sz w:val="24"/>
          <w:szCs w:val="24"/>
          <w:lang w:val="hr-HR"/>
        </w:rPr>
        <w:tab/>
      </w:r>
      <w:r w:rsidRPr="00517F29">
        <w:rPr>
          <w:sz w:val="24"/>
          <w:szCs w:val="24"/>
          <w:lang w:val="hr-HR"/>
        </w:rPr>
        <w:t>Teheran</w:t>
      </w:r>
    </w:p>
    <w:p w:rsidR="001B45AA" w:rsidRPr="00517F29" w:rsidRDefault="001B45AA" w:rsidP="001B45AA">
      <w:pPr>
        <w:pStyle w:val="INormal"/>
        <w:rPr>
          <w:sz w:val="24"/>
          <w:szCs w:val="24"/>
          <w:lang w:val="hr-HR"/>
        </w:rPr>
      </w:pPr>
      <w:r w:rsidRPr="00517F29">
        <w:rPr>
          <w:b/>
          <w:sz w:val="24"/>
          <w:szCs w:val="24"/>
          <w:lang w:val="hr-HR"/>
        </w:rPr>
        <w:t>Površina</w:t>
      </w:r>
      <w:r w:rsidRPr="00517F29">
        <w:rPr>
          <w:b/>
          <w:sz w:val="24"/>
          <w:szCs w:val="24"/>
          <w:lang w:val="hr-HR"/>
        </w:rPr>
        <w:tab/>
      </w:r>
      <w:r w:rsidRPr="00517F29">
        <w:rPr>
          <w:sz w:val="24"/>
          <w:szCs w:val="24"/>
          <w:lang w:val="hr-HR"/>
        </w:rPr>
        <w:t>1.648.195 km</w:t>
      </w:r>
      <w:r w:rsidRPr="00517F29">
        <w:rPr>
          <w:sz w:val="24"/>
          <w:szCs w:val="24"/>
          <w:vertAlign w:val="superscript"/>
          <w:lang w:val="hr-HR"/>
        </w:rPr>
        <w:t>2</w:t>
      </w:r>
      <w:r w:rsidRPr="00517F29">
        <w:rPr>
          <w:sz w:val="24"/>
          <w:szCs w:val="24"/>
          <w:lang w:val="hr-HR"/>
        </w:rPr>
        <w:tab/>
        <w:t xml:space="preserve"> </w:t>
      </w:r>
    </w:p>
    <w:p w:rsidR="001B45AA" w:rsidRPr="00517F29" w:rsidRDefault="001B45AA" w:rsidP="001B45AA">
      <w:pPr>
        <w:pStyle w:val="INormal"/>
        <w:rPr>
          <w:color w:val="707070"/>
          <w:spacing w:val="15"/>
          <w:sz w:val="17"/>
          <w:szCs w:val="17"/>
          <w:lang w:val="hr-HR"/>
        </w:rPr>
      </w:pPr>
      <w:r w:rsidRPr="00517F29">
        <w:rPr>
          <w:b/>
          <w:color w:val="000000"/>
          <w:sz w:val="24"/>
          <w:szCs w:val="24"/>
          <w:lang w:val="hr-HR"/>
        </w:rPr>
        <w:t>Broj stanovnika</w:t>
      </w:r>
      <w:r w:rsidRPr="00517F29">
        <w:rPr>
          <w:b/>
          <w:color w:val="000000"/>
          <w:sz w:val="24"/>
          <w:szCs w:val="24"/>
          <w:lang w:val="hr-HR"/>
        </w:rPr>
        <w:tab/>
      </w:r>
      <w:r w:rsidR="0056723E">
        <w:rPr>
          <w:sz w:val="24"/>
          <w:szCs w:val="24"/>
          <w:lang w:val="hr-HR"/>
        </w:rPr>
        <w:t>85.028.760</w:t>
      </w:r>
      <w:r w:rsidRPr="00517F29">
        <w:rPr>
          <w:color w:val="707070"/>
          <w:spacing w:val="15"/>
          <w:sz w:val="17"/>
          <w:szCs w:val="17"/>
          <w:lang w:val="hr-HR"/>
        </w:rPr>
        <w:t xml:space="preserve">   </w:t>
      </w:r>
    </w:p>
    <w:p w:rsidR="001B45AA" w:rsidRPr="00517F29" w:rsidRDefault="001B45AA" w:rsidP="001B45AA">
      <w:pPr>
        <w:pStyle w:val="INormal"/>
        <w:rPr>
          <w:color w:val="000000"/>
          <w:sz w:val="24"/>
          <w:szCs w:val="24"/>
          <w:lang w:val="hr-HR"/>
        </w:rPr>
      </w:pPr>
      <w:r w:rsidRPr="00517F29">
        <w:rPr>
          <w:b/>
          <w:color w:val="000000"/>
          <w:sz w:val="24"/>
          <w:szCs w:val="24"/>
          <w:lang w:val="hr-HR"/>
        </w:rPr>
        <w:t>Službeni jezik</w:t>
      </w:r>
      <w:r w:rsidRPr="00517F29">
        <w:rPr>
          <w:b/>
          <w:color w:val="000000"/>
          <w:sz w:val="24"/>
          <w:szCs w:val="24"/>
          <w:lang w:val="hr-HR"/>
        </w:rPr>
        <w:tab/>
      </w:r>
      <w:r w:rsidRPr="00517F29">
        <w:rPr>
          <w:color w:val="000000"/>
          <w:sz w:val="24"/>
          <w:szCs w:val="24"/>
          <w:lang w:val="hr-HR"/>
        </w:rPr>
        <w:t>perzijski (farsi)</w:t>
      </w:r>
    </w:p>
    <w:p w:rsidR="00895E7A" w:rsidRDefault="001B45AA" w:rsidP="001B45AA">
      <w:pPr>
        <w:pStyle w:val="INormal"/>
        <w:spacing w:after="0"/>
        <w:rPr>
          <w:b/>
          <w:sz w:val="24"/>
          <w:szCs w:val="24"/>
          <w:lang w:val="hr-HR"/>
        </w:rPr>
      </w:pPr>
      <w:r w:rsidRPr="00517F29">
        <w:rPr>
          <w:b/>
          <w:sz w:val="24"/>
          <w:szCs w:val="24"/>
          <w:lang w:val="hr-HR"/>
        </w:rPr>
        <w:t xml:space="preserve">Članstvo u međunarodnim gospodarskim organizacijama: </w:t>
      </w:r>
    </w:p>
    <w:p w:rsidR="00112D7A" w:rsidRPr="00517F29" w:rsidRDefault="001B45AA" w:rsidP="001B45AA">
      <w:pPr>
        <w:pStyle w:val="INormal"/>
        <w:spacing w:after="0"/>
        <w:rPr>
          <w:sz w:val="24"/>
          <w:szCs w:val="22"/>
          <w:lang w:val="hr-HR"/>
        </w:rPr>
      </w:pPr>
      <w:r w:rsidRPr="00517F29">
        <w:rPr>
          <w:sz w:val="24"/>
          <w:szCs w:val="22"/>
          <w:lang w:val="hr-HR"/>
        </w:rPr>
        <w:t>ECO, IBRD, IDA, IDB, MIGA, IMF, OPEC, WTO (promatrač) i dr.</w:t>
      </w:r>
    </w:p>
    <w:p w:rsidR="009E3B80" w:rsidRPr="00517F29" w:rsidRDefault="009E3B80" w:rsidP="009E3B80">
      <w:pPr>
        <w:pStyle w:val="IPod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tabs>
          <w:tab w:val="clear" w:pos="567"/>
        </w:tabs>
        <w:jc w:val="center"/>
      </w:pPr>
      <w:r w:rsidRPr="00517F29">
        <w:t>Makroekonomski pokazatelji</w:t>
      </w:r>
      <w:bookmarkStart w:id="0" w:name="OLE_LINK1"/>
      <w:bookmarkStart w:id="1" w:name="OLE_LINK2"/>
      <w:bookmarkStart w:id="2" w:name="_Hlk198093604"/>
      <w:bookmarkEnd w:id="0"/>
      <w:bookmarkEnd w:id="1"/>
      <w:bookmarkEnd w:id="2"/>
    </w:p>
    <w:p w:rsidR="002A4D51" w:rsidRPr="00517F29" w:rsidRDefault="002A4D51" w:rsidP="002A4D51">
      <w:pPr>
        <w:pStyle w:val="INormal"/>
        <w:rPr>
          <w:lang w:val="hr-HR"/>
        </w:rPr>
      </w:pPr>
    </w:p>
    <w:tbl>
      <w:tblPr>
        <w:tblW w:w="9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11"/>
        <w:gridCol w:w="1219"/>
        <w:gridCol w:w="1219"/>
        <w:gridCol w:w="1219"/>
        <w:gridCol w:w="1219"/>
        <w:gridCol w:w="1219"/>
      </w:tblGrid>
      <w:tr w:rsidR="00F136C3" w:rsidRPr="00F136C3" w:rsidTr="00C175E7">
        <w:trPr>
          <w:trHeight w:val="333"/>
          <w:tblCellSpacing w:w="20" w:type="dxa"/>
        </w:trPr>
        <w:tc>
          <w:tcPr>
            <w:tcW w:w="3051" w:type="dxa"/>
            <w:shd w:val="clear" w:color="auto" w:fill="9CC2E5" w:themeFill="accent1" w:themeFillTint="99"/>
          </w:tcPr>
          <w:p w:rsidR="00C175E7" w:rsidRPr="00F136C3" w:rsidRDefault="00C175E7" w:rsidP="00C175E7">
            <w:pPr>
              <w:pStyle w:val="INormal"/>
              <w:rPr>
                <w:sz w:val="24"/>
                <w:szCs w:val="24"/>
                <w:lang w:val="hr-HR"/>
              </w:rPr>
            </w:pPr>
          </w:p>
        </w:tc>
        <w:tc>
          <w:tcPr>
            <w:tcW w:w="1179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2017.</w:t>
            </w:r>
          </w:p>
        </w:tc>
        <w:tc>
          <w:tcPr>
            <w:tcW w:w="1179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2018.</w:t>
            </w:r>
          </w:p>
        </w:tc>
        <w:tc>
          <w:tcPr>
            <w:tcW w:w="1179" w:type="dxa"/>
            <w:shd w:val="clear" w:color="auto" w:fill="9CC2E5" w:themeFill="accent1" w:themeFillTint="99"/>
          </w:tcPr>
          <w:p w:rsidR="00C175E7" w:rsidRPr="00F136C3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179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2020.</w:t>
            </w:r>
          </w:p>
        </w:tc>
        <w:tc>
          <w:tcPr>
            <w:tcW w:w="1159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2021.</w:t>
            </w:r>
          </w:p>
        </w:tc>
      </w:tr>
      <w:tr w:rsidR="00F136C3" w:rsidRPr="00F136C3" w:rsidTr="00C175E7">
        <w:trPr>
          <w:trHeight w:val="727"/>
          <w:tblCellSpacing w:w="20" w:type="dxa"/>
        </w:trPr>
        <w:tc>
          <w:tcPr>
            <w:tcW w:w="3051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left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BDP, tekuće cijene (milijarde USD)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613F29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486,6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613F29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330,9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291,4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231,6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175E7" w:rsidRPr="00F136C3" w:rsidRDefault="00F136C3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…</w:t>
            </w:r>
          </w:p>
        </w:tc>
      </w:tr>
      <w:tr w:rsidR="00F136C3" w:rsidRPr="00F136C3" w:rsidTr="00C175E7">
        <w:trPr>
          <w:trHeight w:val="504"/>
          <w:tblCellSpacing w:w="20" w:type="dxa"/>
        </w:trPr>
        <w:tc>
          <w:tcPr>
            <w:tcW w:w="3051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left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BDP po stanovniku (USD)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5 657,9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5 454,3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5 308,9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5.333,1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175E7" w:rsidRPr="00F136C3" w:rsidRDefault="00F136C3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…</w:t>
            </w:r>
          </w:p>
        </w:tc>
      </w:tr>
      <w:tr w:rsidR="00F136C3" w:rsidRPr="00F136C3" w:rsidTr="00C175E7">
        <w:trPr>
          <w:trHeight w:val="439"/>
          <w:tblCellSpacing w:w="20" w:type="dxa"/>
        </w:trPr>
        <w:tc>
          <w:tcPr>
            <w:tcW w:w="3051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left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Realni rast BDP-a (%)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B5101D" w:rsidP="00A6470E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2,8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A6470E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-5,4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A6470E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-7,6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B5101D" w:rsidP="00A6470E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1,8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175E7" w:rsidRPr="00F136C3" w:rsidRDefault="00A6470E" w:rsidP="00A6470E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4,0</w:t>
            </w:r>
          </w:p>
        </w:tc>
      </w:tr>
      <w:tr w:rsidR="00F136C3" w:rsidRPr="00F136C3" w:rsidTr="00C175E7">
        <w:trPr>
          <w:trHeight w:val="423"/>
          <w:tblCellSpacing w:w="20" w:type="dxa"/>
        </w:trPr>
        <w:tc>
          <w:tcPr>
            <w:tcW w:w="3051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left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Inflacija (%)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56723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8,0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56723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18,0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56723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39,9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56723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30,6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175E7" w:rsidRPr="00F136C3" w:rsidRDefault="008A6FDF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40,1</w:t>
            </w:r>
          </w:p>
        </w:tc>
      </w:tr>
      <w:tr w:rsidR="00F136C3" w:rsidRPr="00F136C3" w:rsidTr="00C175E7">
        <w:trPr>
          <w:trHeight w:val="439"/>
          <w:tblCellSpacing w:w="20" w:type="dxa"/>
        </w:trPr>
        <w:tc>
          <w:tcPr>
            <w:tcW w:w="3051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left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Nezaposlenost (%)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12,2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12,2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10,7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B5101D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12,2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175E7" w:rsidRPr="00F136C3" w:rsidRDefault="00A6470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11,5</w:t>
            </w:r>
          </w:p>
        </w:tc>
      </w:tr>
      <w:tr w:rsidR="00F136C3" w:rsidRPr="00F136C3" w:rsidTr="00C175E7">
        <w:trPr>
          <w:trHeight w:val="727"/>
          <w:tblCellSpacing w:w="20" w:type="dxa"/>
        </w:trPr>
        <w:tc>
          <w:tcPr>
            <w:tcW w:w="3051" w:type="dxa"/>
            <w:shd w:val="clear" w:color="auto" w:fill="9CC2E5" w:themeFill="accent1" w:themeFillTint="99"/>
            <w:vAlign w:val="center"/>
          </w:tcPr>
          <w:p w:rsidR="00C175E7" w:rsidRPr="00F136C3" w:rsidRDefault="00C175E7" w:rsidP="00C175E7">
            <w:pPr>
              <w:pStyle w:val="INormal"/>
              <w:jc w:val="left"/>
              <w:rPr>
                <w:b/>
                <w:sz w:val="24"/>
                <w:szCs w:val="24"/>
                <w:lang w:val="hr-HR"/>
              </w:rPr>
            </w:pPr>
            <w:r w:rsidRPr="00F136C3">
              <w:rPr>
                <w:b/>
                <w:sz w:val="24"/>
                <w:szCs w:val="24"/>
                <w:lang w:val="hr-HR"/>
              </w:rPr>
              <w:t>Izravna strana ulaganja (milijarde USD)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C175E7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5,0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7676D9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2,8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7676D9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15,1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C175E7" w:rsidRPr="00F136C3" w:rsidRDefault="007676D9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13,4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C175E7" w:rsidRPr="00F136C3" w:rsidRDefault="00FB73F3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F136C3">
              <w:rPr>
                <w:sz w:val="24"/>
                <w:szCs w:val="24"/>
                <w:lang w:val="hr-HR"/>
              </w:rPr>
              <w:t>9,2</w:t>
            </w:r>
          </w:p>
        </w:tc>
      </w:tr>
    </w:tbl>
    <w:p w:rsidR="009E3B80" w:rsidRPr="00517F29" w:rsidRDefault="009E3B80" w:rsidP="009E3B80">
      <w:pPr>
        <w:contextualSpacing/>
        <w:rPr>
          <w:i/>
          <w:sz w:val="16"/>
          <w:szCs w:val="16"/>
        </w:rPr>
      </w:pPr>
      <w:r w:rsidRPr="00517F29">
        <w:rPr>
          <w:i/>
        </w:rPr>
        <w:t xml:space="preserve">Izvor: </w:t>
      </w:r>
      <w:r w:rsidR="009B2598" w:rsidRPr="00517F29">
        <w:rPr>
          <w:i/>
        </w:rPr>
        <w:t>The World Bank</w:t>
      </w:r>
      <w:r w:rsidR="009B2598" w:rsidRPr="00517F29">
        <w:rPr>
          <w:rFonts w:cs="Times New Roman"/>
          <w:i/>
        </w:rPr>
        <w:t>, IMF</w:t>
      </w:r>
    </w:p>
    <w:p w:rsidR="009E3B80" w:rsidRPr="00517F29" w:rsidRDefault="00CA7EE8" w:rsidP="009E3B80">
      <w:pPr>
        <w:pStyle w:val="INormal"/>
        <w:rPr>
          <w:b/>
          <w:sz w:val="24"/>
          <w:szCs w:val="24"/>
          <w:lang w:val="hr-HR"/>
        </w:rPr>
      </w:pPr>
      <w:r w:rsidRPr="00517F29">
        <w:rPr>
          <w:b/>
          <w:sz w:val="24"/>
          <w:szCs w:val="24"/>
          <w:lang w:val="hr-HR"/>
        </w:rPr>
        <w:t xml:space="preserve">Struktura BDP-a: </w:t>
      </w:r>
      <w:r w:rsidR="009E3B80" w:rsidRPr="00517F29">
        <w:rPr>
          <w:sz w:val="24"/>
          <w:szCs w:val="24"/>
          <w:lang w:val="hr-HR"/>
        </w:rPr>
        <w:t xml:space="preserve">usluge </w:t>
      </w:r>
      <w:r w:rsidR="00C629E1" w:rsidRPr="00517F29">
        <w:rPr>
          <w:sz w:val="24"/>
          <w:szCs w:val="24"/>
          <w:lang w:val="hr-HR"/>
        </w:rPr>
        <w:t>54,3</w:t>
      </w:r>
      <w:r w:rsidR="009E3B80" w:rsidRPr="00517F29">
        <w:rPr>
          <w:sz w:val="24"/>
          <w:szCs w:val="24"/>
          <w:lang w:val="hr-HR"/>
        </w:rPr>
        <w:t>%, industrija</w:t>
      </w:r>
      <w:r w:rsidR="00C629E1" w:rsidRPr="00517F29">
        <w:rPr>
          <w:sz w:val="24"/>
          <w:szCs w:val="24"/>
          <w:lang w:val="hr-HR"/>
        </w:rPr>
        <w:t xml:space="preserve"> 35,9</w:t>
      </w:r>
      <w:r w:rsidR="009E3B80" w:rsidRPr="00517F29">
        <w:rPr>
          <w:sz w:val="24"/>
          <w:szCs w:val="24"/>
          <w:lang w:val="hr-HR"/>
        </w:rPr>
        <w:t>%, poljoprivreda 9</w:t>
      </w:r>
      <w:r w:rsidR="00C629E1" w:rsidRPr="00517F29">
        <w:rPr>
          <w:sz w:val="24"/>
          <w:szCs w:val="24"/>
          <w:lang w:val="hr-HR"/>
        </w:rPr>
        <w:t>,8</w:t>
      </w:r>
      <w:r w:rsidR="009E3B80" w:rsidRPr="00517F29">
        <w:rPr>
          <w:sz w:val="24"/>
          <w:szCs w:val="24"/>
          <w:lang w:val="hr-HR"/>
        </w:rPr>
        <w:t>%.</w:t>
      </w:r>
    </w:p>
    <w:p w:rsidR="009E3B80" w:rsidRDefault="009E3B80" w:rsidP="009E3B80">
      <w:pPr>
        <w:pStyle w:val="INormal"/>
        <w:spacing w:after="0"/>
        <w:rPr>
          <w:rFonts w:eastAsia="PMingLiU"/>
          <w:color w:val="000000"/>
          <w:sz w:val="24"/>
          <w:szCs w:val="24"/>
          <w:lang w:val="hr-HR" w:eastAsia="zh-TW"/>
        </w:rPr>
      </w:pPr>
      <w:r w:rsidRPr="00517F29">
        <w:rPr>
          <w:b/>
          <w:sz w:val="24"/>
          <w:szCs w:val="24"/>
          <w:lang w:val="hr-HR"/>
        </w:rPr>
        <w:t>Industrijske grane</w:t>
      </w:r>
      <w:r w:rsidRPr="00517F29">
        <w:rPr>
          <w:rFonts w:eastAsia="PMingLiU"/>
          <w:b/>
          <w:color w:val="000000"/>
          <w:sz w:val="24"/>
          <w:szCs w:val="24"/>
          <w:lang w:val="hr-HR" w:eastAsia="zh-TW"/>
        </w:rPr>
        <w:t xml:space="preserve">: </w:t>
      </w:r>
      <w:r w:rsidRPr="00517F29">
        <w:rPr>
          <w:rFonts w:eastAsia="PMingLiU"/>
          <w:color w:val="000000"/>
          <w:sz w:val="24"/>
          <w:szCs w:val="24"/>
          <w:lang w:val="hr-HR" w:eastAsia="zh-TW"/>
        </w:rPr>
        <w:t>naftna i plinska, petrokemijska, industrija umjetnih gnojiv</w:t>
      </w:r>
      <w:r w:rsidR="00C629E1" w:rsidRPr="00517F29">
        <w:rPr>
          <w:rFonts w:eastAsia="PMingLiU"/>
          <w:color w:val="000000"/>
          <w:sz w:val="24"/>
          <w:szCs w:val="24"/>
          <w:lang w:val="hr-HR" w:eastAsia="zh-TW"/>
        </w:rPr>
        <w:t xml:space="preserve">a, tekstil, cement i drugi građevinski materijali, prerada hrane, obrada željeza I nehrđajućeg metala, naoružanje </w:t>
      </w:r>
    </w:p>
    <w:p w:rsidR="00895E7A" w:rsidRPr="00517F29" w:rsidRDefault="00895E7A" w:rsidP="009E3B80">
      <w:pPr>
        <w:pStyle w:val="INormal"/>
        <w:spacing w:after="0"/>
        <w:rPr>
          <w:rFonts w:eastAsia="PMingLiU"/>
          <w:color w:val="000000"/>
          <w:sz w:val="24"/>
          <w:szCs w:val="24"/>
          <w:lang w:val="hr-HR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E3B80" w:rsidRPr="00517F29" w:rsidTr="009E3B80">
        <w:tc>
          <w:tcPr>
            <w:tcW w:w="9285" w:type="dxa"/>
            <w:shd w:val="clear" w:color="auto" w:fill="9CC2E5" w:themeFill="accent1" w:themeFillTint="99"/>
          </w:tcPr>
          <w:p w:rsidR="009E3B80" w:rsidRPr="00517F29" w:rsidRDefault="009E3B80" w:rsidP="00BC78BB">
            <w:pPr>
              <w:pStyle w:val="IBul1"/>
              <w:tabs>
                <w:tab w:val="clear" w:pos="720"/>
              </w:tabs>
              <w:spacing w:after="0"/>
              <w:ind w:left="0" w:firstLine="0"/>
              <w:jc w:val="center"/>
              <w:rPr>
                <w:b/>
                <w:color w:val="262626"/>
                <w:sz w:val="24"/>
                <w:szCs w:val="24"/>
              </w:rPr>
            </w:pPr>
            <w:r w:rsidRPr="00517F29">
              <w:rPr>
                <w:b/>
                <w:color w:val="262626"/>
                <w:sz w:val="24"/>
                <w:szCs w:val="24"/>
              </w:rPr>
              <w:t>Vanjskotrgovinska razmjena</w:t>
            </w:r>
          </w:p>
        </w:tc>
      </w:tr>
    </w:tbl>
    <w:p w:rsidR="009E3B80" w:rsidRPr="00517F29" w:rsidRDefault="009E3B80" w:rsidP="009E3B80">
      <w:pPr>
        <w:pStyle w:val="INormal"/>
        <w:spacing w:after="0"/>
        <w:jc w:val="left"/>
        <w:rPr>
          <w:color w:val="262626"/>
          <w:sz w:val="24"/>
          <w:szCs w:val="24"/>
          <w:lang w:val="hr-HR"/>
        </w:rPr>
      </w:pPr>
      <w:r w:rsidRPr="00517F29">
        <w:rPr>
          <w:color w:val="262626"/>
          <w:sz w:val="24"/>
          <w:szCs w:val="24"/>
          <w:lang w:val="hr-HR"/>
        </w:rPr>
        <w:tab/>
      </w:r>
      <w:r w:rsidRPr="00517F29">
        <w:rPr>
          <w:color w:val="262626"/>
          <w:sz w:val="24"/>
          <w:szCs w:val="24"/>
          <w:lang w:val="hr-HR"/>
        </w:rPr>
        <w:tab/>
      </w:r>
      <w:r w:rsidRPr="00517F29">
        <w:rPr>
          <w:color w:val="262626"/>
          <w:sz w:val="24"/>
          <w:szCs w:val="24"/>
          <w:lang w:val="hr-HR"/>
        </w:rPr>
        <w:tab/>
      </w:r>
      <w:r w:rsidRPr="00517F29">
        <w:rPr>
          <w:color w:val="262626"/>
          <w:sz w:val="24"/>
          <w:szCs w:val="24"/>
          <w:lang w:val="hr-HR"/>
        </w:rPr>
        <w:tab/>
      </w:r>
      <w:r w:rsidRPr="00517F29">
        <w:rPr>
          <w:color w:val="262626"/>
          <w:sz w:val="24"/>
          <w:szCs w:val="24"/>
          <w:lang w:val="hr-HR"/>
        </w:rPr>
        <w:tab/>
      </w:r>
      <w:r w:rsidRPr="00517F29">
        <w:rPr>
          <w:color w:val="262626"/>
          <w:sz w:val="24"/>
          <w:szCs w:val="24"/>
          <w:lang w:val="hr-HR"/>
        </w:rPr>
        <w:tab/>
      </w:r>
      <w:r w:rsidRPr="00517F29">
        <w:rPr>
          <w:color w:val="262626"/>
          <w:sz w:val="24"/>
          <w:szCs w:val="24"/>
          <w:lang w:val="hr-HR"/>
        </w:rPr>
        <w:tab/>
      </w:r>
      <w:r w:rsidRPr="00517F29">
        <w:rPr>
          <w:color w:val="262626"/>
          <w:sz w:val="24"/>
          <w:szCs w:val="24"/>
          <w:lang w:val="hr-HR"/>
        </w:rPr>
        <w:tab/>
        <w:t xml:space="preserve"> </w:t>
      </w:r>
    </w:p>
    <w:p w:rsidR="009E3B80" w:rsidRPr="006A418E" w:rsidRDefault="005A07C7" w:rsidP="005A07C7">
      <w:pPr>
        <w:pStyle w:val="INormal"/>
        <w:spacing w:after="0"/>
        <w:jc w:val="center"/>
        <w:rPr>
          <w:i/>
          <w:lang w:val="hr-HR"/>
        </w:rPr>
      </w:pPr>
      <w:r>
        <w:rPr>
          <w:i/>
          <w:lang w:val="hr-HR"/>
        </w:rPr>
        <w:tab/>
      </w:r>
      <w:r>
        <w:rPr>
          <w:i/>
          <w:lang w:val="hr-HR"/>
        </w:rPr>
        <w:tab/>
      </w:r>
      <w:r>
        <w:rPr>
          <w:i/>
          <w:lang w:val="hr-HR"/>
        </w:rPr>
        <w:tab/>
      </w:r>
      <w:r>
        <w:rPr>
          <w:i/>
          <w:lang w:val="hr-HR"/>
        </w:rPr>
        <w:tab/>
      </w:r>
      <w:r w:rsidR="009E3B80" w:rsidRPr="006A418E">
        <w:rPr>
          <w:i/>
          <w:lang w:val="hr-HR"/>
        </w:rPr>
        <w:t xml:space="preserve">U milijardama </w:t>
      </w:r>
      <w:r w:rsidR="00C629E1" w:rsidRPr="006A418E">
        <w:rPr>
          <w:i/>
          <w:lang w:val="hr-HR"/>
        </w:rPr>
        <w:t>USD</w:t>
      </w:r>
    </w:p>
    <w:tbl>
      <w:tblPr>
        <w:tblW w:w="715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08"/>
        <w:gridCol w:w="1122"/>
        <w:gridCol w:w="1122"/>
        <w:gridCol w:w="1122"/>
        <w:gridCol w:w="1122"/>
        <w:gridCol w:w="1257"/>
      </w:tblGrid>
      <w:tr w:rsidR="006A418E" w:rsidRPr="006A418E" w:rsidTr="00C175E7">
        <w:trPr>
          <w:trHeight w:val="376"/>
          <w:tblCellSpacing w:w="20" w:type="dxa"/>
          <w:jc w:val="center"/>
        </w:trPr>
        <w:tc>
          <w:tcPr>
            <w:tcW w:w="1348" w:type="dxa"/>
            <w:shd w:val="clear" w:color="auto" w:fill="9CC2E5" w:themeFill="accent1" w:themeFillTint="99"/>
          </w:tcPr>
          <w:p w:rsidR="00C175E7" w:rsidRPr="006A418E" w:rsidRDefault="00C175E7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1082" w:type="dxa"/>
            <w:shd w:val="clear" w:color="auto" w:fill="9CC2E5" w:themeFill="accent1" w:themeFillTint="99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2017.</w:t>
            </w:r>
          </w:p>
        </w:tc>
        <w:tc>
          <w:tcPr>
            <w:tcW w:w="1082" w:type="dxa"/>
            <w:shd w:val="clear" w:color="auto" w:fill="9CC2E5" w:themeFill="accent1" w:themeFillTint="99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2018.</w:t>
            </w:r>
          </w:p>
        </w:tc>
        <w:tc>
          <w:tcPr>
            <w:tcW w:w="1082" w:type="dxa"/>
            <w:shd w:val="clear" w:color="auto" w:fill="9CC2E5" w:themeFill="accent1" w:themeFillTint="99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2019.</w:t>
            </w:r>
          </w:p>
        </w:tc>
        <w:tc>
          <w:tcPr>
            <w:tcW w:w="1082" w:type="dxa"/>
            <w:shd w:val="clear" w:color="auto" w:fill="9CC2E5" w:themeFill="accent1" w:themeFillTint="99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2020.</w:t>
            </w:r>
          </w:p>
        </w:tc>
        <w:tc>
          <w:tcPr>
            <w:tcW w:w="1197" w:type="dxa"/>
            <w:shd w:val="clear" w:color="auto" w:fill="9CC2E5" w:themeFill="accent1" w:themeFillTint="99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2021.</w:t>
            </w:r>
          </w:p>
        </w:tc>
      </w:tr>
      <w:tr w:rsidR="006A418E" w:rsidRPr="006A418E" w:rsidTr="00C175E7">
        <w:trPr>
          <w:trHeight w:val="360"/>
          <w:tblCellSpacing w:w="20" w:type="dxa"/>
          <w:jc w:val="center"/>
        </w:trPr>
        <w:tc>
          <w:tcPr>
            <w:tcW w:w="1348" w:type="dxa"/>
            <w:shd w:val="clear" w:color="auto" w:fill="9CC2E5" w:themeFill="accent1" w:themeFillTint="99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IZVOZ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91,9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52,9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41.3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6A418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41,0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175E7" w:rsidRPr="006A418E" w:rsidRDefault="006A418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52,9</w:t>
            </w:r>
          </w:p>
        </w:tc>
      </w:tr>
      <w:tr w:rsidR="006A418E" w:rsidRPr="006A418E" w:rsidTr="00C175E7">
        <w:trPr>
          <w:trHeight w:val="281"/>
          <w:tblCellSpacing w:w="20" w:type="dxa"/>
          <w:jc w:val="center"/>
        </w:trPr>
        <w:tc>
          <w:tcPr>
            <w:tcW w:w="1348" w:type="dxa"/>
            <w:shd w:val="clear" w:color="auto" w:fill="9CC2E5" w:themeFill="accent1" w:themeFillTint="99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UVOZ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70,5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75,5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43.7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6A418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38,8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175E7" w:rsidRPr="006A418E" w:rsidRDefault="006A418E" w:rsidP="00C175E7">
            <w:pPr>
              <w:pStyle w:val="INormal"/>
              <w:jc w:val="center"/>
              <w:rPr>
                <w:sz w:val="24"/>
                <w:szCs w:val="24"/>
                <w:lang w:val="hr-HR"/>
              </w:rPr>
            </w:pPr>
            <w:r w:rsidRPr="006A418E">
              <w:rPr>
                <w:sz w:val="24"/>
                <w:szCs w:val="24"/>
                <w:lang w:val="hr-HR"/>
              </w:rPr>
              <w:t>75,1</w:t>
            </w:r>
          </w:p>
        </w:tc>
      </w:tr>
      <w:tr w:rsidR="006A418E" w:rsidRPr="006A418E" w:rsidTr="00C175E7">
        <w:trPr>
          <w:trHeight w:val="281"/>
          <w:tblCellSpacing w:w="20" w:type="dxa"/>
          <w:jc w:val="center"/>
        </w:trPr>
        <w:tc>
          <w:tcPr>
            <w:tcW w:w="1348" w:type="dxa"/>
            <w:shd w:val="clear" w:color="auto" w:fill="9CC2E5" w:themeFill="accent1" w:themeFillTint="99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162,5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128,4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85</w:t>
            </w:r>
            <w:r w:rsidR="006A418E" w:rsidRPr="006A418E">
              <w:rPr>
                <w:b/>
                <w:sz w:val="24"/>
                <w:szCs w:val="24"/>
                <w:lang w:val="hr-HR"/>
              </w:rPr>
              <w:t>,0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6A418E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79,8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175E7" w:rsidRPr="006A418E" w:rsidRDefault="006A418E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128,0</w:t>
            </w:r>
          </w:p>
        </w:tc>
      </w:tr>
      <w:tr w:rsidR="006A418E" w:rsidRPr="006A418E" w:rsidTr="00C175E7">
        <w:trPr>
          <w:trHeight w:val="235"/>
          <w:tblCellSpacing w:w="20" w:type="dxa"/>
          <w:jc w:val="center"/>
        </w:trPr>
        <w:tc>
          <w:tcPr>
            <w:tcW w:w="1348" w:type="dxa"/>
            <w:shd w:val="clear" w:color="auto" w:fill="9CC2E5" w:themeFill="accent1" w:themeFillTint="99"/>
            <w:vAlign w:val="center"/>
          </w:tcPr>
          <w:p w:rsidR="00C175E7" w:rsidRPr="006A418E" w:rsidRDefault="00C175E7" w:rsidP="00C175E7">
            <w:pPr>
              <w:pStyle w:val="INormal"/>
              <w:jc w:val="center"/>
              <w:rPr>
                <w:b/>
                <w:sz w:val="24"/>
                <w:szCs w:val="24"/>
                <w:lang w:val="hr-HR"/>
              </w:rPr>
            </w:pPr>
            <w:r w:rsidRPr="006A418E">
              <w:rPr>
                <w:b/>
                <w:sz w:val="24"/>
                <w:szCs w:val="24"/>
                <w:lang w:val="hr-HR"/>
              </w:rPr>
              <w:t>RAZLIKA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spacing w:before="150"/>
              <w:jc w:val="center"/>
              <w:rPr>
                <w:sz w:val="24"/>
                <w:szCs w:val="24"/>
              </w:rPr>
            </w:pPr>
            <w:r w:rsidRPr="006A418E">
              <w:rPr>
                <w:sz w:val="24"/>
                <w:szCs w:val="24"/>
              </w:rPr>
              <w:t>21,4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spacing w:before="150"/>
              <w:jc w:val="center"/>
              <w:rPr>
                <w:sz w:val="24"/>
                <w:szCs w:val="24"/>
              </w:rPr>
            </w:pPr>
            <w:r w:rsidRPr="006A418E">
              <w:rPr>
                <w:sz w:val="24"/>
                <w:szCs w:val="24"/>
              </w:rPr>
              <w:t>-22,6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C175E7" w:rsidP="00C175E7">
            <w:pPr>
              <w:spacing w:before="150"/>
              <w:jc w:val="center"/>
              <w:rPr>
                <w:sz w:val="24"/>
                <w:szCs w:val="24"/>
              </w:rPr>
            </w:pPr>
            <w:r w:rsidRPr="006A418E">
              <w:rPr>
                <w:sz w:val="24"/>
                <w:szCs w:val="24"/>
              </w:rPr>
              <w:t>-2,4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175E7" w:rsidRPr="006A418E" w:rsidRDefault="006A418E" w:rsidP="00C175E7">
            <w:pPr>
              <w:spacing w:before="150"/>
              <w:jc w:val="center"/>
              <w:rPr>
                <w:rFonts w:eastAsia="Arial"/>
                <w:sz w:val="24"/>
                <w:szCs w:val="24"/>
              </w:rPr>
            </w:pPr>
            <w:r w:rsidRPr="006A418E">
              <w:rPr>
                <w:rFonts w:eastAsia="Arial"/>
                <w:sz w:val="24"/>
                <w:szCs w:val="24"/>
              </w:rPr>
              <w:t>2,2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175E7" w:rsidRPr="006A418E" w:rsidRDefault="006A418E" w:rsidP="00C175E7">
            <w:pPr>
              <w:spacing w:before="150"/>
              <w:jc w:val="center"/>
              <w:rPr>
                <w:rFonts w:eastAsia="Arial"/>
                <w:sz w:val="24"/>
                <w:szCs w:val="24"/>
              </w:rPr>
            </w:pPr>
            <w:r w:rsidRPr="006A418E">
              <w:rPr>
                <w:rFonts w:eastAsia="Arial"/>
                <w:sz w:val="24"/>
                <w:szCs w:val="24"/>
              </w:rPr>
              <w:t>-22,2</w:t>
            </w:r>
          </w:p>
        </w:tc>
      </w:tr>
    </w:tbl>
    <w:p w:rsidR="009E3B80" w:rsidRPr="006A418E" w:rsidRDefault="00C175E7" w:rsidP="00751D70">
      <w:pPr>
        <w:spacing w:after="0"/>
        <w:ind w:left="4247" w:hanging="4247"/>
        <w:rPr>
          <w:rFonts w:eastAsia="Arial"/>
          <w:i/>
        </w:rPr>
      </w:pPr>
      <w:r w:rsidRPr="006A418E">
        <w:rPr>
          <w:rFonts w:eastAsia="Arial"/>
          <w:i/>
        </w:rPr>
        <w:t xml:space="preserve">                </w:t>
      </w:r>
      <w:r w:rsidR="00CA7EE8" w:rsidRPr="006A418E">
        <w:rPr>
          <w:rFonts w:eastAsia="Arial"/>
          <w:i/>
        </w:rPr>
        <w:t xml:space="preserve">Izvor: </w:t>
      </w:r>
      <w:r w:rsidR="00E65CF8" w:rsidRPr="006A418E">
        <w:rPr>
          <w:rFonts w:eastAsia="Arial"/>
          <w:i/>
        </w:rPr>
        <w:t>IMF</w:t>
      </w:r>
      <w:r w:rsidR="00735C9E" w:rsidRPr="006A418E">
        <w:rPr>
          <w:rFonts w:eastAsia="Arial"/>
          <w:i/>
        </w:rPr>
        <w:t xml:space="preserve">, </w:t>
      </w:r>
      <w:r w:rsidR="00B42A07" w:rsidRPr="006A418E">
        <w:rPr>
          <w:rFonts w:eastAsia="Arial"/>
          <w:i/>
        </w:rPr>
        <w:t xml:space="preserve">World </w:t>
      </w:r>
      <w:r w:rsidR="006A418E" w:rsidRPr="006A418E">
        <w:rPr>
          <w:rFonts w:eastAsia="Arial"/>
          <w:i/>
        </w:rPr>
        <w:t>Bank</w:t>
      </w:r>
    </w:p>
    <w:p w:rsidR="00C42FA7" w:rsidRDefault="00C42FA7" w:rsidP="00751D70">
      <w:pPr>
        <w:spacing w:after="0"/>
        <w:ind w:left="4247" w:hanging="4247"/>
        <w:rPr>
          <w:rFonts w:eastAsia="Arial"/>
          <w:i/>
          <w:color w:val="FF0000"/>
        </w:rPr>
      </w:pPr>
    </w:p>
    <w:p w:rsidR="00C42FA7" w:rsidRPr="00C175E7" w:rsidRDefault="00C42FA7" w:rsidP="00751D70">
      <w:pPr>
        <w:spacing w:after="0"/>
        <w:ind w:left="4247" w:hanging="4247"/>
        <w:rPr>
          <w:rFonts w:eastAsia="Arial"/>
          <w:i/>
          <w:color w:val="FF0000"/>
        </w:rPr>
      </w:pPr>
    </w:p>
    <w:p w:rsidR="009E3B80" w:rsidRPr="00517F29" w:rsidRDefault="00D53D15" w:rsidP="00D53D15">
      <w:pPr>
        <w:jc w:val="left"/>
        <w:rPr>
          <w:rFonts w:eastAsia="Arial"/>
          <w:sz w:val="24"/>
          <w:szCs w:val="24"/>
        </w:rPr>
      </w:pPr>
      <w:r w:rsidRPr="00517F29">
        <w:rPr>
          <w:rFonts w:eastAsia="Arial"/>
          <w:b/>
          <w:sz w:val="24"/>
          <w:szCs w:val="24"/>
        </w:rPr>
        <w:lastRenderedPageBreak/>
        <w:t>Najznačajnije zemlje izvoza</w:t>
      </w:r>
      <w:r w:rsidR="009E3B80" w:rsidRPr="00517F29">
        <w:rPr>
          <w:rFonts w:eastAsia="Arial"/>
          <w:b/>
          <w:sz w:val="24"/>
          <w:szCs w:val="24"/>
        </w:rPr>
        <w:t xml:space="preserve">: </w:t>
      </w:r>
      <w:r w:rsidR="008A6FDF">
        <w:rPr>
          <w:rFonts w:eastAsia="Arial"/>
          <w:sz w:val="24"/>
          <w:szCs w:val="24"/>
        </w:rPr>
        <w:t>Kina 48,3%, Indija 12,1</w:t>
      </w:r>
      <w:r w:rsidR="009E3B80" w:rsidRPr="00517F29">
        <w:rPr>
          <w:rFonts w:eastAsia="Arial"/>
          <w:sz w:val="24"/>
          <w:szCs w:val="24"/>
        </w:rPr>
        <w:t>%,</w:t>
      </w:r>
      <w:r w:rsidR="008A6FDF">
        <w:rPr>
          <w:rFonts w:eastAsia="Arial"/>
          <w:sz w:val="24"/>
          <w:szCs w:val="24"/>
        </w:rPr>
        <w:t xml:space="preserve"> Južna Korea 7,6</w:t>
      </w:r>
      <w:r w:rsidRPr="00517F29">
        <w:rPr>
          <w:rFonts w:eastAsia="Arial"/>
          <w:sz w:val="24"/>
          <w:szCs w:val="24"/>
        </w:rPr>
        <w:t xml:space="preserve">%, </w:t>
      </w:r>
      <w:r w:rsidRPr="00517F29">
        <w:rPr>
          <w:rFonts w:eastAsia="Arial"/>
          <w:sz w:val="24"/>
          <w:szCs w:val="24"/>
        </w:rPr>
        <w:br/>
        <w:t xml:space="preserve">Turska </w:t>
      </w:r>
      <w:r w:rsidR="008A6FDF">
        <w:rPr>
          <w:rFonts w:eastAsia="Arial"/>
          <w:sz w:val="24"/>
          <w:szCs w:val="24"/>
        </w:rPr>
        <w:t>6,0</w:t>
      </w:r>
      <w:r w:rsidR="009E3B80" w:rsidRPr="00517F29">
        <w:rPr>
          <w:rFonts w:eastAsia="Arial"/>
          <w:sz w:val="24"/>
          <w:szCs w:val="24"/>
        </w:rPr>
        <w:t>%,</w:t>
      </w:r>
      <w:r w:rsidRPr="00517F29">
        <w:rPr>
          <w:rFonts w:eastAsia="Arial"/>
          <w:sz w:val="24"/>
          <w:szCs w:val="24"/>
        </w:rPr>
        <w:t xml:space="preserve"> </w:t>
      </w:r>
      <w:r w:rsidR="009E3B80" w:rsidRPr="00517F29">
        <w:rPr>
          <w:rFonts w:eastAsia="Arial"/>
          <w:sz w:val="24"/>
          <w:szCs w:val="24"/>
        </w:rPr>
        <w:t xml:space="preserve">Japan </w:t>
      </w:r>
      <w:r w:rsidR="008A6FDF">
        <w:rPr>
          <w:rFonts w:eastAsia="Arial"/>
          <w:sz w:val="24"/>
          <w:szCs w:val="24"/>
        </w:rPr>
        <w:t>UAE 4,6</w:t>
      </w:r>
      <w:r w:rsidR="009E3B80" w:rsidRPr="00517F29">
        <w:rPr>
          <w:rFonts w:eastAsia="Arial"/>
          <w:sz w:val="24"/>
          <w:szCs w:val="24"/>
        </w:rPr>
        <w:t>%</w:t>
      </w:r>
      <w:r w:rsidR="00010D43" w:rsidRPr="00517F29">
        <w:rPr>
          <w:rFonts w:eastAsia="Arial"/>
          <w:sz w:val="24"/>
          <w:szCs w:val="24"/>
        </w:rPr>
        <w:t>.</w:t>
      </w:r>
      <w:r w:rsidR="009E3B80" w:rsidRPr="00517F29">
        <w:rPr>
          <w:rFonts w:eastAsia="Arial"/>
          <w:sz w:val="24"/>
          <w:szCs w:val="24"/>
        </w:rPr>
        <w:t xml:space="preserve"> </w:t>
      </w:r>
    </w:p>
    <w:p w:rsidR="002A4D51" w:rsidRPr="00517F29" w:rsidRDefault="00D53D15" w:rsidP="002A4D51">
      <w:pPr>
        <w:spacing w:after="0"/>
        <w:ind w:left="4247" w:hanging="4247"/>
        <w:rPr>
          <w:rFonts w:eastAsia="Arial"/>
          <w:sz w:val="24"/>
          <w:szCs w:val="24"/>
        </w:rPr>
      </w:pPr>
      <w:r w:rsidRPr="00517F29">
        <w:rPr>
          <w:rFonts w:eastAsia="Arial"/>
          <w:b/>
          <w:sz w:val="24"/>
          <w:szCs w:val="24"/>
        </w:rPr>
        <w:t>Najznačajniji izvozni proizvodi:</w:t>
      </w:r>
      <w:r w:rsidR="006B1FA0" w:rsidRPr="00517F29">
        <w:rPr>
          <w:rFonts w:eastAsia="Arial"/>
          <w:sz w:val="24"/>
          <w:szCs w:val="24"/>
        </w:rPr>
        <w:t xml:space="preserve"> nafta</w:t>
      </w:r>
      <w:r w:rsidRPr="00517F29">
        <w:rPr>
          <w:rFonts w:eastAsia="Arial"/>
          <w:sz w:val="24"/>
          <w:szCs w:val="24"/>
        </w:rPr>
        <w:t>, kemijski i petrokemijski proizvodi,</w:t>
      </w:r>
      <w:r w:rsidR="002A4D51" w:rsidRPr="00517F29">
        <w:rPr>
          <w:rFonts w:eastAsia="Arial"/>
          <w:sz w:val="24"/>
          <w:szCs w:val="24"/>
        </w:rPr>
        <w:t xml:space="preserve"> </w:t>
      </w:r>
    </w:p>
    <w:p w:rsidR="00D53D15" w:rsidRPr="00517F29" w:rsidRDefault="00D53D15" w:rsidP="002A4D51">
      <w:pPr>
        <w:spacing w:after="0"/>
        <w:ind w:left="4247" w:hanging="4247"/>
        <w:rPr>
          <w:rFonts w:eastAsia="Arial"/>
          <w:sz w:val="24"/>
          <w:szCs w:val="24"/>
        </w:rPr>
      </w:pPr>
      <w:r w:rsidRPr="00517F29">
        <w:rPr>
          <w:rFonts w:eastAsia="Arial"/>
          <w:sz w:val="24"/>
          <w:szCs w:val="24"/>
        </w:rPr>
        <w:t>svježe i suho voće, sagovi</w:t>
      </w:r>
      <w:r w:rsidR="00010D43" w:rsidRPr="00517F29">
        <w:rPr>
          <w:rFonts w:eastAsia="Arial"/>
          <w:sz w:val="24"/>
          <w:szCs w:val="24"/>
        </w:rPr>
        <w:t>.</w:t>
      </w:r>
    </w:p>
    <w:p w:rsidR="009E3B80" w:rsidRPr="00517F29" w:rsidRDefault="00D53D15" w:rsidP="00D53D15">
      <w:pPr>
        <w:rPr>
          <w:rFonts w:eastAsia="Arial"/>
          <w:sz w:val="24"/>
          <w:szCs w:val="24"/>
        </w:rPr>
      </w:pPr>
      <w:r w:rsidRPr="00517F29">
        <w:rPr>
          <w:rFonts w:eastAsia="Arial"/>
          <w:b/>
          <w:sz w:val="24"/>
          <w:szCs w:val="24"/>
        </w:rPr>
        <w:t>Najznačajnije zemlje uvoza</w:t>
      </w:r>
      <w:r w:rsidR="008A6FDF">
        <w:rPr>
          <w:rFonts w:eastAsia="Arial"/>
          <w:b/>
          <w:sz w:val="24"/>
          <w:szCs w:val="24"/>
        </w:rPr>
        <w:t xml:space="preserve">: </w:t>
      </w:r>
      <w:r w:rsidR="008A6FDF">
        <w:rPr>
          <w:rFonts w:eastAsia="Arial"/>
          <w:sz w:val="24"/>
          <w:szCs w:val="24"/>
        </w:rPr>
        <w:t>Kina 21,0</w:t>
      </w:r>
      <w:r w:rsidR="009E3B80" w:rsidRPr="00517F29">
        <w:rPr>
          <w:rFonts w:eastAsia="Arial"/>
          <w:sz w:val="24"/>
          <w:szCs w:val="24"/>
        </w:rPr>
        <w:t xml:space="preserve">%, </w:t>
      </w:r>
      <w:r w:rsidR="008A6FDF">
        <w:rPr>
          <w:rFonts w:eastAsia="Arial"/>
          <w:sz w:val="24"/>
          <w:szCs w:val="24"/>
        </w:rPr>
        <w:t>Japan 9,2%, Turska 9,0%.</w:t>
      </w:r>
    </w:p>
    <w:p w:rsidR="00D53D15" w:rsidRPr="00517F29" w:rsidRDefault="00D53D15" w:rsidP="00D53D15">
      <w:pPr>
        <w:spacing w:after="0"/>
        <w:ind w:left="4247" w:hanging="4247"/>
        <w:rPr>
          <w:rFonts w:eastAsia="Arial"/>
          <w:sz w:val="24"/>
          <w:szCs w:val="24"/>
        </w:rPr>
      </w:pPr>
      <w:r w:rsidRPr="00517F29">
        <w:rPr>
          <w:rFonts w:eastAsia="Arial"/>
          <w:b/>
          <w:sz w:val="24"/>
          <w:szCs w:val="24"/>
        </w:rPr>
        <w:t>Najznačajniji uvozni proizvodi:</w:t>
      </w:r>
      <w:r w:rsidRPr="00517F29">
        <w:rPr>
          <w:rFonts w:eastAsia="Arial"/>
          <w:sz w:val="24"/>
          <w:szCs w:val="24"/>
        </w:rPr>
        <w:t xml:space="preserve"> industrijska oprema, kapitalna dobra, prehrambeni</w:t>
      </w:r>
    </w:p>
    <w:p w:rsidR="00D53D15" w:rsidRPr="00517F29" w:rsidRDefault="00D53D15" w:rsidP="00CA7EE8">
      <w:pPr>
        <w:spacing w:after="0"/>
        <w:ind w:left="4247" w:hanging="4247"/>
        <w:rPr>
          <w:rFonts w:eastAsia="Arial"/>
          <w:sz w:val="24"/>
          <w:szCs w:val="24"/>
        </w:rPr>
      </w:pPr>
      <w:r w:rsidRPr="00517F29">
        <w:rPr>
          <w:rFonts w:eastAsia="Arial"/>
          <w:sz w:val="24"/>
          <w:szCs w:val="24"/>
        </w:rPr>
        <w:t>proizvodi i druga roba široke potrošnje, tehničke usluge</w:t>
      </w:r>
      <w:r w:rsidR="00010D43" w:rsidRPr="00517F29">
        <w:rPr>
          <w:rFonts w:eastAsia="Arial"/>
          <w:sz w:val="24"/>
          <w:szCs w:val="24"/>
        </w:rPr>
        <w:t>.</w:t>
      </w:r>
    </w:p>
    <w:p w:rsidR="001B45AA" w:rsidRPr="00517F29" w:rsidRDefault="001B45AA" w:rsidP="001B45AA">
      <w:pPr>
        <w:pStyle w:val="INormal"/>
        <w:spacing w:after="0"/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66CCB" w:rsidRPr="00517F29" w:rsidTr="00C66CCB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66CCB" w:rsidRPr="00517F29" w:rsidRDefault="00C66CCB">
            <w:pPr>
              <w:pStyle w:val="IBul1"/>
              <w:tabs>
                <w:tab w:val="clear" w:pos="720"/>
                <w:tab w:val="left" w:pos="708"/>
              </w:tabs>
              <w:spacing w:line="254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17F29">
              <w:rPr>
                <w:b/>
                <w:sz w:val="24"/>
                <w:szCs w:val="24"/>
              </w:rPr>
              <w:t>Bilateralni gospodarski odnosi s Republikom Hrvatskom</w:t>
            </w:r>
          </w:p>
        </w:tc>
      </w:tr>
    </w:tbl>
    <w:p w:rsidR="00C66CCB" w:rsidRPr="00517F29" w:rsidRDefault="00C66CCB" w:rsidP="00C66CCB">
      <w:pPr>
        <w:pStyle w:val="INormal"/>
        <w:spacing w:after="0"/>
        <w:rPr>
          <w:rFonts w:eastAsia="Arial"/>
          <w:b/>
          <w:sz w:val="24"/>
          <w:szCs w:val="24"/>
          <w:lang w:val="hr-HR"/>
        </w:rPr>
      </w:pPr>
      <w:r w:rsidRPr="00517F29">
        <w:rPr>
          <w:rFonts w:eastAsia="Arial"/>
          <w:b/>
          <w:sz w:val="24"/>
          <w:szCs w:val="24"/>
          <w:lang w:val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66CCB" w:rsidRPr="00517F29" w:rsidTr="00C66CCB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66CCB" w:rsidRPr="00517F29" w:rsidRDefault="00C66CCB">
            <w:pPr>
              <w:pStyle w:val="IBul1"/>
              <w:tabs>
                <w:tab w:val="clear" w:pos="720"/>
                <w:tab w:val="left" w:pos="708"/>
              </w:tabs>
              <w:spacing w:line="254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17F29">
              <w:rPr>
                <w:b/>
                <w:sz w:val="24"/>
                <w:szCs w:val="24"/>
              </w:rPr>
              <w:t>Robna razmjena</w:t>
            </w:r>
          </w:p>
        </w:tc>
      </w:tr>
    </w:tbl>
    <w:p w:rsidR="00112D7A" w:rsidRPr="00517F29" w:rsidRDefault="00112D7A" w:rsidP="00112D7A">
      <w:pPr>
        <w:pStyle w:val="INormal"/>
        <w:spacing w:after="0"/>
        <w:rPr>
          <w:rFonts w:cs="Arial"/>
          <w:sz w:val="24"/>
          <w:szCs w:val="24"/>
          <w:lang w:val="hr-HR"/>
        </w:rPr>
      </w:pPr>
    </w:p>
    <w:p w:rsidR="008A1212" w:rsidRPr="00517F29" w:rsidRDefault="008C3671" w:rsidP="008D6DF1">
      <w:pPr>
        <w:pStyle w:val="INormal"/>
        <w:spacing w:after="0"/>
        <w:ind w:right="-286"/>
        <w:jc w:val="center"/>
        <w:rPr>
          <w:rFonts w:cs="Arial"/>
          <w:i/>
          <w:lang w:val="hr-HR"/>
        </w:rPr>
      </w:pPr>
      <w:r w:rsidRPr="00517F29">
        <w:rPr>
          <w:rFonts w:cs="Arial"/>
          <w:i/>
          <w:lang w:val="hr-HR"/>
        </w:rPr>
        <w:t xml:space="preserve">           </w:t>
      </w:r>
    </w:p>
    <w:p w:rsidR="00112D7A" w:rsidRPr="00517F29" w:rsidRDefault="008C3671" w:rsidP="008D6DF1">
      <w:pPr>
        <w:pStyle w:val="INormal"/>
        <w:spacing w:after="0"/>
        <w:ind w:right="-286"/>
        <w:jc w:val="center"/>
        <w:rPr>
          <w:rFonts w:cs="Arial"/>
          <w:i/>
          <w:lang w:val="hr-HR"/>
        </w:rPr>
      </w:pPr>
      <w:r w:rsidRPr="00517F29">
        <w:rPr>
          <w:rFonts w:cs="Arial"/>
          <w:i/>
          <w:lang w:val="hr-HR"/>
        </w:rPr>
        <w:t xml:space="preserve">                                                                                          </w:t>
      </w:r>
      <w:r w:rsidR="00CA7EE8" w:rsidRPr="00517F29">
        <w:rPr>
          <w:rFonts w:cs="Arial"/>
          <w:i/>
          <w:lang w:val="hr-HR"/>
        </w:rPr>
        <w:t xml:space="preserve">                        </w:t>
      </w:r>
      <w:r w:rsidR="003570A9" w:rsidRPr="00517F29">
        <w:rPr>
          <w:rFonts w:cs="Arial"/>
          <w:i/>
          <w:lang w:val="hr-HR"/>
        </w:rPr>
        <w:t xml:space="preserve"> </w:t>
      </w:r>
      <w:r w:rsidR="00481EEC" w:rsidRPr="00517F29">
        <w:rPr>
          <w:rFonts w:cs="Arial"/>
          <w:i/>
          <w:lang w:val="hr-HR"/>
        </w:rPr>
        <w:t xml:space="preserve">U milijunima </w:t>
      </w:r>
      <w:r w:rsidR="005728FC" w:rsidRPr="00517F29">
        <w:rPr>
          <w:rFonts w:cs="Arial"/>
          <w:i/>
          <w:lang w:val="hr-HR"/>
        </w:rPr>
        <w:t>USD</w:t>
      </w:r>
    </w:p>
    <w:tbl>
      <w:tblPr>
        <w:tblW w:w="89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77"/>
        <w:gridCol w:w="1389"/>
        <w:gridCol w:w="1390"/>
        <w:gridCol w:w="1390"/>
        <w:gridCol w:w="1390"/>
        <w:gridCol w:w="1390"/>
      </w:tblGrid>
      <w:tr w:rsidR="005A07C7" w:rsidRPr="00517F29" w:rsidTr="00EF1CC0">
        <w:trPr>
          <w:trHeight w:val="365"/>
          <w:tblCellSpacing w:w="20" w:type="dxa"/>
        </w:trPr>
        <w:tc>
          <w:tcPr>
            <w:tcW w:w="1917" w:type="dxa"/>
            <w:shd w:val="clear" w:color="auto" w:fill="9CC2E5" w:themeFill="accent1" w:themeFillTint="99"/>
            <w:vAlign w:val="center"/>
          </w:tcPr>
          <w:p w:rsidR="005A07C7" w:rsidRPr="00517F29" w:rsidRDefault="005A07C7" w:rsidP="005A07C7">
            <w:pPr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9CC2E5" w:themeFill="accent1" w:themeFillTint="99"/>
            <w:vAlign w:val="center"/>
          </w:tcPr>
          <w:p w:rsidR="005A07C7" w:rsidRPr="00517F29" w:rsidRDefault="005A07C7" w:rsidP="005A07C7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517F29">
              <w:rPr>
                <w:rFonts w:eastAsia="Arial"/>
                <w:b/>
                <w:sz w:val="24"/>
                <w:szCs w:val="24"/>
              </w:rPr>
              <w:t>2018.</w:t>
            </w:r>
          </w:p>
        </w:tc>
        <w:tc>
          <w:tcPr>
            <w:tcW w:w="1350" w:type="dxa"/>
            <w:shd w:val="clear" w:color="auto" w:fill="9CC2E5" w:themeFill="accent1" w:themeFillTint="99"/>
            <w:vAlign w:val="center"/>
          </w:tcPr>
          <w:p w:rsidR="005A07C7" w:rsidRPr="00517F29" w:rsidRDefault="005A07C7" w:rsidP="005A07C7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2019</w:t>
            </w:r>
            <w:r w:rsidRPr="00517F29">
              <w:rPr>
                <w:rFonts w:eastAsia="Arial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9CC2E5" w:themeFill="accent1" w:themeFillTint="99"/>
            <w:vAlign w:val="center"/>
          </w:tcPr>
          <w:p w:rsidR="005A07C7" w:rsidRPr="00517F29" w:rsidRDefault="005A07C7" w:rsidP="005A07C7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2020</w:t>
            </w:r>
            <w:r w:rsidRPr="00517F29">
              <w:rPr>
                <w:rFonts w:eastAsia="Arial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9CC2E5" w:themeFill="accent1" w:themeFillTint="99"/>
            <w:vAlign w:val="center"/>
          </w:tcPr>
          <w:p w:rsidR="005A07C7" w:rsidRPr="00517F29" w:rsidRDefault="005A07C7" w:rsidP="005A07C7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2021</w:t>
            </w:r>
            <w:r w:rsidRPr="00517F29">
              <w:rPr>
                <w:rFonts w:eastAsia="Arial"/>
                <w:b/>
                <w:sz w:val="24"/>
                <w:szCs w:val="24"/>
              </w:rPr>
              <w:t>.</w:t>
            </w:r>
          </w:p>
        </w:tc>
        <w:tc>
          <w:tcPr>
            <w:tcW w:w="1330" w:type="dxa"/>
            <w:shd w:val="clear" w:color="auto" w:fill="9CC2E5" w:themeFill="accent1" w:themeFillTint="99"/>
            <w:vAlign w:val="center"/>
          </w:tcPr>
          <w:p w:rsidR="005A07C7" w:rsidRPr="00517F29" w:rsidRDefault="005A07C7" w:rsidP="005A07C7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I. – VI. 2022</w:t>
            </w:r>
            <w:r w:rsidRPr="00517F29">
              <w:rPr>
                <w:rFonts w:eastAsia="Arial"/>
                <w:b/>
                <w:sz w:val="24"/>
                <w:szCs w:val="24"/>
              </w:rPr>
              <w:t>.</w:t>
            </w:r>
          </w:p>
        </w:tc>
      </w:tr>
      <w:tr w:rsidR="003D2C60" w:rsidRPr="00517F29" w:rsidTr="003D2C60">
        <w:trPr>
          <w:trHeight w:val="407"/>
          <w:tblCellSpacing w:w="20" w:type="dxa"/>
        </w:trPr>
        <w:tc>
          <w:tcPr>
            <w:tcW w:w="1917" w:type="dxa"/>
            <w:shd w:val="clear" w:color="auto" w:fill="9CC2E5" w:themeFill="accent1" w:themeFillTint="99"/>
            <w:vAlign w:val="center"/>
          </w:tcPr>
          <w:p w:rsidR="003D2C60" w:rsidRPr="00517F29" w:rsidRDefault="003D2C60" w:rsidP="005728FC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517F29">
              <w:rPr>
                <w:rFonts w:eastAsia="Arial"/>
                <w:b/>
                <w:sz w:val="24"/>
                <w:szCs w:val="24"/>
              </w:rPr>
              <w:t>IZVOZ</w:t>
            </w:r>
          </w:p>
        </w:tc>
        <w:tc>
          <w:tcPr>
            <w:tcW w:w="1349" w:type="dxa"/>
            <w:shd w:val="clear" w:color="auto" w:fill="FFFFFF"/>
          </w:tcPr>
          <w:p w:rsidR="003D2C60" w:rsidRPr="00517F29" w:rsidRDefault="003D2C60" w:rsidP="005728FC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sz w:val="24"/>
                <w:szCs w:val="24"/>
                <w:lang w:val="hr-HR"/>
              </w:rPr>
              <w:t>7,6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3D2C60" w:rsidP="005728FC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sz w:val="24"/>
                <w:szCs w:val="24"/>
                <w:lang w:val="hr-HR"/>
              </w:rPr>
              <w:t>10,4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8A1212" w:rsidP="008A1212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5,4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8A1212" w:rsidP="005728FC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4,2</w:t>
            </w:r>
          </w:p>
        </w:tc>
        <w:tc>
          <w:tcPr>
            <w:tcW w:w="1330" w:type="dxa"/>
            <w:shd w:val="clear" w:color="auto" w:fill="FFFFFF"/>
          </w:tcPr>
          <w:p w:rsidR="003D2C60" w:rsidRPr="00517F29" w:rsidRDefault="00551412" w:rsidP="005728FC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3,5</w:t>
            </w:r>
          </w:p>
        </w:tc>
      </w:tr>
      <w:tr w:rsidR="003D2C60" w:rsidRPr="00517F29" w:rsidTr="003D2C60">
        <w:trPr>
          <w:trHeight w:val="407"/>
          <w:tblCellSpacing w:w="20" w:type="dxa"/>
        </w:trPr>
        <w:tc>
          <w:tcPr>
            <w:tcW w:w="1917" w:type="dxa"/>
            <w:shd w:val="clear" w:color="auto" w:fill="9CC2E5" w:themeFill="accent1" w:themeFillTint="99"/>
            <w:vAlign w:val="center"/>
          </w:tcPr>
          <w:p w:rsidR="003D2C60" w:rsidRPr="00517F29" w:rsidRDefault="003D2C60" w:rsidP="005728FC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517F29">
              <w:rPr>
                <w:rFonts w:eastAsia="Arial"/>
                <w:b/>
                <w:sz w:val="24"/>
                <w:szCs w:val="24"/>
              </w:rPr>
              <w:t>UVOZ</w:t>
            </w:r>
          </w:p>
        </w:tc>
        <w:tc>
          <w:tcPr>
            <w:tcW w:w="1349" w:type="dxa"/>
            <w:shd w:val="clear" w:color="auto" w:fill="FFFFFF"/>
          </w:tcPr>
          <w:p w:rsidR="003D2C60" w:rsidRPr="00517F29" w:rsidRDefault="003D2C60" w:rsidP="002A4D51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sz w:val="24"/>
                <w:szCs w:val="24"/>
                <w:lang w:val="hr-HR"/>
              </w:rPr>
              <w:t>74,4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3D2C60" w:rsidP="002A4D51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sz w:val="24"/>
                <w:szCs w:val="24"/>
                <w:lang w:val="hr-HR"/>
              </w:rPr>
              <w:t>2,6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8A1212" w:rsidP="008A1212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2,4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8A1212" w:rsidP="002A4D51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5,5</w:t>
            </w:r>
          </w:p>
        </w:tc>
        <w:tc>
          <w:tcPr>
            <w:tcW w:w="1330" w:type="dxa"/>
            <w:shd w:val="clear" w:color="auto" w:fill="FFFFFF"/>
          </w:tcPr>
          <w:p w:rsidR="003D2C60" w:rsidRPr="00517F29" w:rsidRDefault="00551412" w:rsidP="002A4D51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4,0</w:t>
            </w:r>
          </w:p>
        </w:tc>
      </w:tr>
      <w:tr w:rsidR="003D2C60" w:rsidRPr="00517F29" w:rsidTr="003D2C60">
        <w:trPr>
          <w:trHeight w:val="407"/>
          <w:tblCellSpacing w:w="20" w:type="dxa"/>
        </w:trPr>
        <w:tc>
          <w:tcPr>
            <w:tcW w:w="1917" w:type="dxa"/>
            <w:shd w:val="clear" w:color="auto" w:fill="9CC2E5" w:themeFill="accent1" w:themeFillTint="99"/>
            <w:vAlign w:val="center"/>
          </w:tcPr>
          <w:p w:rsidR="003D2C60" w:rsidRPr="00517F29" w:rsidRDefault="003D2C60" w:rsidP="00127BC9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517F29">
              <w:rPr>
                <w:rFonts w:eastAsia="Arial"/>
                <w:b/>
                <w:sz w:val="24"/>
                <w:szCs w:val="24"/>
              </w:rPr>
              <w:t>UKUPNO</w:t>
            </w:r>
          </w:p>
        </w:tc>
        <w:tc>
          <w:tcPr>
            <w:tcW w:w="1349" w:type="dxa"/>
            <w:shd w:val="clear" w:color="auto" w:fill="FFFFFF"/>
          </w:tcPr>
          <w:p w:rsidR="003D2C60" w:rsidRPr="00517F29" w:rsidRDefault="003D2C60" w:rsidP="00127BC9">
            <w:pPr>
              <w:pStyle w:val="INormal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sz w:val="24"/>
                <w:szCs w:val="24"/>
                <w:lang w:val="hr-HR"/>
              </w:rPr>
              <w:t>82,0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3D2C60" w:rsidP="00127BC9">
            <w:pPr>
              <w:pStyle w:val="INormal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sz w:val="24"/>
                <w:szCs w:val="24"/>
                <w:lang w:val="hr-HR"/>
              </w:rPr>
              <w:t>13,0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8A1212" w:rsidP="008A1212">
            <w:pPr>
              <w:pStyle w:val="INormal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7,8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8A1212" w:rsidP="00127BC9">
            <w:pPr>
              <w:pStyle w:val="INormal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9,7</w:t>
            </w:r>
          </w:p>
        </w:tc>
        <w:tc>
          <w:tcPr>
            <w:tcW w:w="1330" w:type="dxa"/>
            <w:shd w:val="clear" w:color="auto" w:fill="FFFFFF"/>
          </w:tcPr>
          <w:p w:rsidR="003D2C60" w:rsidRPr="00517F29" w:rsidRDefault="00551412" w:rsidP="00127BC9">
            <w:pPr>
              <w:pStyle w:val="INormal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7,5</w:t>
            </w:r>
          </w:p>
        </w:tc>
      </w:tr>
      <w:tr w:rsidR="003D2C60" w:rsidRPr="00517F29" w:rsidTr="003D2C60">
        <w:trPr>
          <w:trHeight w:val="392"/>
          <w:tblCellSpacing w:w="20" w:type="dxa"/>
        </w:trPr>
        <w:tc>
          <w:tcPr>
            <w:tcW w:w="1917" w:type="dxa"/>
            <w:shd w:val="clear" w:color="auto" w:fill="9CC2E5" w:themeFill="accent1" w:themeFillTint="99"/>
            <w:vAlign w:val="center"/>
          </w:tcPr>
          <w:p w:rsidR="003D2C60" w:rsidRPr="00517F29" w:rsidRDefault="003D2C60" w:rsidP="005728FC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517F29">
              <w:rPr>
                <w:rFonts w:eastAsia="Arial"/>
                <w:b/>
                <w:sz w:val="24"/>
                <w:szCs w:val="24"/>
              </w:rPr>
              <w:t>RAZLIKA</w:t>
            </w:r>
          </w:p>
        </w:tc>
        <w:tc>
          <w:tcPr>
            <w:tcW w:w="1349" w:type="dxa"/>
            <w:shd w:val="clear" w:color="auto" w:fill="FFFFFF"/>
          </w:tcPr>
          <w:p w:rsidR="003D2C60" w:rsidRPr="00517F29" w:rsidRDefault="003D2C60" w:rsidP="00F73710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sz w:val="24"/>
                <w:szCs w:val="24"/>
                <w:lang w:val="hr-HR"/>
              </w:rPr>
              <w:t>-66,8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3D2C60" w:rsidP="00F73710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sz w:val="24"/>
                <w:szCs w:val="24"/>
                <w:lang w:val="hr-HR"/>
              </w:rPr>
              <w:t>7,8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8A1212" w:rsidP="008A1212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3,0</w:t>
            </w:r>
          </w:p>
        </w:tc>
        <w:tc>
          <w:tcPr>
            <w:tcW w:w="1350" w:type="dxa"/>
            <w:shd w:val="clear" w:color="auto" w:fill="FFFFFF"/>
          </w:tcPr>
          <w:p w:rsidR="003D2C60" w:rsidRPr="00517F29" w:rsidRDefault="008A1212" w:rsidP="00F73710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-1,3</w:t>
            </w:r>
          </w:p>
        </w:tc>
        <w:tc>
          <w:tcPr>
            <w:tcW w:w="1330" w:type="dxa"/>
            <w:shd w:val="clear" w:color="auto" w:fill="FFFFFF"/>
          </w:tcPr>
          <w:p w:rsidR="003D2C60" w:rsidRPr="00517F29" w:rsidRDefault="00551412" w:rsidP="00F73710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cs="Arial"/>
                <w:sz w:val="24"/>
                <w:szCs w:val="24"/>
                <w:lang w:val="hr-HR"/>
              </w:rPr>
              <w:t>-0,5</w:t>
            </w:r>
          </w:p>
        </w:tc>
      </w:tr>
    </w:tbl>
    <w:p w:rsidR="0060110A" w:rsidRPr="00517F29" w:rsidRDefault="00112D7A" w:rsidP="002A4D51">
      <w:pPr>
        <w:pStyle w:val="INormal"/>
        <w:rPr>
          <w:rFonts w:cs="Arial"/>
          <w:i/>
          <w:lang w:val="hr-HR"/>
        </w:rPr>
      </w:pPr>
      <w:r w:rsidRPr="00517F29">
        <w:rPr>
          <w:rFonts w:cs="Arial"/>
          <w:i/>
          <w:lang w:val="hr-HR"/>
        </w:rPr>
        <w:t xml:space="preserve">Izvor: </w:t>
      </w:r>
      <w:r w:rsidR="007E123D" w:rsidRPr="00517F29">
        <w:rPr>
          <w:rFonts w:cs="Arial"/>
          <w:i/>
          <w:lang w:val="hr-HR"/>
        </w:rPr>
        <w:t>DZS</w:t>
      </w:r>
    </w:p>
    <w:tbl>
      <w:tblPr>
        <w:tblW w:w="90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54"/>
        <w:gridCol w:w="1410"/>
        <w:gridCol w:w="4080"/>
        <w:gridCol w:w="1445"/>
        <w:gridCol w:w="1235"/>
      </w:tblGrid>
      <w:tr w:rsidR="00112D7A" w:rsidRPr="00517F29" w:rsidTr="00786790">
        <w:trPr>
          <w:trHeight w:val="539"/>
          <w:tblCellSpacing w:w="20" w:type="dxa"/>
        </w:trPr>
        <w:tc>
          <w:tcPr>
            <w:tcW w:w="8944" w:type="dxa"/>
            <w:gridSpan w:val="5"/>
            <w:shd w:val="clear" w:color="auto" w:fill="9CC2E5" w:themeFill="accent1" w:themeFillTint="99"/>
            <w:vAlign w:val="center"/>
          </w:tcPr>
          <w:p w:rsidR="00112D7A" w:rsidRPr="00517F29" w:rsidRDefault="008C3671" w:rsidP="00B42A07">
            <w:pPr>
              <w:rPr>
                <w:rFonts w:eastAsia="Arial"/>
                <w:b/>
                <w:sz w:val="24"/>
                <w:szCs w:val="24"/>
              </w:rPr>
            </w:pPr>
            <w:r w:rsidRPr="00517F29">
              <w:rPr>
                <w:rFonts w:eastAsia="Arial"/>
                <w:b/>
                <w:sz w:val="24"/>
                <w:szCs w:val="24"/>
              </w:rPr>
              <w:t xml:space="preserve">STRUKTURA NAJZNAČAJNIJIH </w:t>
            </w:r>
            <w:r w:rsidR="00B42A07">
              <w:rPr>
                <w:rFonts w:eastAsia="Arial"/>
                <w:b/>
                <w:sz w:val="24"/>
                <w:szCs w:val="24"/>
              </w:rPr>
              <w:t xml:space="preserve">UVOZNIH </w:t>
            </w:r>
            <w:r w:rsidRPr="00517F29">
              <w:rPr>
                <w:rFonts w:eastAsia="Arial"/>
                <w:b/>
                <w:sz w:val="24"/>
                <w:szCs w:val="24"/>
              </w:rPr>
              <w:t xml:space="preserve">PROIZVODA </w:t>
            </w:r>
            <w:r w:rsidR="00C175E7">
              <w:rPr>
                <w:rFonts w:eastAsia="Arial"/>
                <w:b/>
                <w:sz w:val="24"/>
                <w:szCs w:val="24"/>
              </w:rPr>
              <w:t xml:space="preserve"> 2021.</w:t>
            </w:r>
          </w:p>
        </w:tc>
      </w:tr>
      <w:tr w:rsidR="00112D7A" w:rsidRPr="00517F29" w:rsidTr="00895E7A">
        <w:trPr>
          <w:trHeight w:val="407"/>
          <w:tblCellSpacing w:w="20" w:type="dxa"/>
        </w:trPr>
        <w:tc>
          <w:tcPr>
            <w:tcW w:w="794" w:type="dxa"/>
            <w:shd w:val="clear" w:color="auto" w:fill="FFFFFF"/>
            <w:vAlign w:val="center"/>
          </w:tcPr>
          <w:p w:rsidR="00112D7A" w:rsidRPr="00517F29" w:rsidRDefault="00112D7A" w:rsidP="00481EEC">
            <w:pPr>
              <w:jc w:val="center"/>
              <w:rPr>
                <w:rFonts w:eastAsia="Arial"/>
                <w:b/>
                <w:color w:val="1F4E79" w:themeColor="accent1" w:themeShade="80"/>
                <w:sz w:val="24"/>
                <w:szCs w:val="24"/>
              </w:rPr>
            </w:pPr>
            <w:r w:rsidRPr="00517F29">
              <w:rPr>
                <w:rFonts w:eastAsia="Arial"/>
                <w:b/>
                <w:color w:val="1F4E79" w:themeColor="accent1" w:themeShade="80"/>
                <w:sz w:val="24"/>
                <w:szCs w:val="24"/>
              </w:rPr>
              <w:t>R.br.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12D7A" w:rsidRPr="00517F29" w:rsidRDefault="00112D7A" w:rsidP="00481EEC">
            <w:pPr>
              <w:pStyle w:val="INormal"/>
              <w:jc w:val="center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Tarifna oznaka</w:t>
            </w:r>
          </w:p>
        </w:tc>
        <w:tc>
          <w:tcPr>
            <w:tcW w:w="4040" w:type="dxa"/>
            <w:shd w:val="clear" w:color="auto" w:fill="FFFFFF"/>
            <w:vAlign w:val="center"/>
          </w:tcPr>
          <w:p w:rsidR="00112D7A" w:rsidRPr="00517F29" w:rsidRDefault="00112D7A" w:rsidP="00481EEC">
            <w:pPr>
              <w:pStyle w:val="INormal"/>
              <w:jc w:val="center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Naziv robe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112D7A" w:rsidRPr="00517F29" w:rsidRDefault="005728FC" w:rsidP="00481EEC">
            <w:pPr>
              <w:pStyle w:val="INormal"/>
              <w:jc w:val="center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USD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112D7A" w:rsidRPr="00517F29" w:rsidRDefault="00481EEC" w:rsidP="00481EEC">
            <w:pPr>
              <w:pStyle w:val="INormal"/>
              <w:jc w:val="center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%</w:t>
            </w:r>
          </w:p>
        </w:tc>
      </w:tr>
      <w:tr w:rsidR="00E53F06" w:rsidRPr="00517F29" w:rsidTr="00895E7A">
        <w:trPr>
          <w:trHeight w:val="899"/>
          <w:tblCellSpacing w:w="20" w:type="dxa"/>
        </w:trPr>
        <w:tc>
          <w:tcPr>
            <w:tcW w:w="794" w:type="dxa"/>
            <w:shd w:val="clear" w:color="auto" w:fill="FFFFFF"/>
            <w:vAlign w:val="center"/>
          </w:tcPr>
          <w:p w:rsidR="00E53F06" w:rsidRPr="00517F29" w:rsidRDefault="00E53F06" w:rsidP="009D18FE">
            <w:pPr>
              <w:jc w:val="center"/>
              <w:rPr>
                <w:rFonts w:eastAsia="Arial"/>
                <w:sz w:val="24"/>
                <w:szCs w:val="24"/>
              </w:rPr>
            </w:pPr>
            <w:r w:rsidRPr="00517F29"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37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E53F06" w:rsidRPr="00BC448A" w:rsidRDefault="006A5A7B" w:rsidP="009D18FE">
            <w:pPr>
              <w:suppressAutoHyphens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BC448A">
              <w:rPr>
                <w:color w:val="000000"/>
                <w:sz w:val="24"/>
                <w:szCs w:val="24"/>
              </w:rPr>
              <w:t>7325</w:t>
            </w:r>
          </w:p>
        </w:tc>
        <w:tc>
          <w:tcPr>
            <w:tcW w:w="404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6A5A7B" w:rsidRPr="00BC448A" w:rsidRDefault="006A5A7B" w:rsidP="006A5A7B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>Lijevani proizvodi od željeza ili čelika, drugdje nespomenuti i neuključeni</w:t>
            </w:r>
          </w:p>
          <w:p w:rsidR="00E53F06" w:rsidRPr="00BC448A" w:rsidRDefault="00E53F06" w:rsidP="009D18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6A5A7B" w:rsidRPr="00BC448A" w:rsidRDefault="006A5A7B" w:rsidP="006A5A7B">
            <w:pPr>
              <w:suppressAutoHyphens w:val="0"/>
              <w:spacing w:after="0"/>
              <w:jc w:val="center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>1.136.373</w:t>
            </w:r>
          </w:p>
          <w:p w:rsidR="00E53F06" w:rsidRPr="00BC448A" w:rsidRDefault="00E53F06" w:rsidP="00895E7A">
            <w:pPr>
              <w:suppressAutoHyphens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E53F06" w:rsidRPr="00BC448A" w:rsidRDefault="006A5A7B" w:rsidP="00895E7A">
            <w:pPr>
              <w:jc w:val="center"/>
              <w:rPr>
                <w:sz w:val="24"/>
                <w:szCs w:val="24"/>
              </w:rPr>
            </w:pPr>
            <w:r w:rsidRPr="00BC448A">
              <w:rPr>
                <w:sz w:val="24"/>
                <w:szCs w:val="24"/>
              </w:rPr>
              <w:t>20,7</w:t>
            </w:r>
          </w:p>
        </w:tc>
      </w:tr>
      <w:tr w:rsidR="009D18FE" w:rsidRPr="00517F29" w:rsidTr="00895E7A">
        <w:trPr>
          <w:trHeight w:val="407"/>
          <w:tblCellSpacing w:w="20" w:type="dxa"/>
        </w:trPr>
        <w:tc>
          <w:tcPr>
            <w:tcW w:w="794" w:type="dxa"/>
            <w:shd w:val="clear" w:color="auto" w:fill="FFFFFF"/>
            <w:vAlign w:val="center"/>
          </w:tcPr>
          <w:p w:rsidR="009D18FE" w:rsidRPr="00517F29" w:rsidRDefault="00E53F06" w:rsidP="009D18FE">
            <w:pPr>
              <w:jc w:val="center"/>
              <w:rPr>
                <w:rFonts w:eastAsia="Arial"/>
                <w:sz w:val="24"/>
                <w:szCs w:val="24"/>
              </w:rPr>
            </w:pPr>
            <w:r w:rsidRPr="00517F29">
              <w:rPr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137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9D18FE" w:rsidRPr="00BC448A" w:rsidRDefault="00BC448A" w:rsidP="009D18FE">
            <w:pPr>
              <w:suppressAutoHyphens w:val="0"/>
              <w:spacing w:after="0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 w:rsidRPr="00BC448A">
              <w:rPr>
                <w:color w:val="000000"/>
                <w:sz w:val="24"/>
                <w:szCs w:val="24"/>
                <w:lang w:eastAsia="hr-HR"/>
              </w:rPr>
              <w:t>0806</w:t>
            </w:r>
          </w:p>
        </w:tc>
        <w:tc>
          <w:tcPr>
            <w:tcW w:w="404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BC448A" w:rsidRPr="00BC448A" w:rsidRDefault="00BC448A" w:rsidP="00BC448A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>Grožđe, svježe ili suho</w:t>
            </w:r>
          </w:p>
          <w:p w:rsidR="009D18FE" w:rsidRPr="00BC448A" w:rsidRDefault="009D18FE" w:rsidP="009D18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BC448A" w:rsidRPr="00BC448A" w:rsidRDefault="00BC448A" w:rsidP="00BC448A">
            <w:pPr>
              <w:suppressAutoHyphens w:val="0"/>
              <w:spacing w:after="0"/>
              <w:jc w:val="center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>1.069.257</w:t>
            </w:r>
          </w:p>
          <w:p w:rsidR="009D18FE" w:rsidRPr="00BC448A" w:rsidRDefault="009D18FE" w:rsidP="00BC448A">
            <w:pPr>
              <w:suppressAutoHyphens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9D18FE" w:rsidRPr="00BC448A" w:rsidRDefault="00BC448A" w:rsidP="00895E7A">
            <w:pPr>
              <w:jc w:val="center"/>
              <w:rPr>
                <w:sz w:val="24"/>
                <w:szCs w:val="24"/>
              </w:rPr>
            </w:pPr>
            <w:r w:rsidRPr="00BC448A">
              <w:rPr>
                <w:sz w:val="24"/>
                <w:szCs w:val="24"/>
              </w:rPr>
              <w:t>19,4</w:t>
            </w:r>
          </w:p>
        </w:tc>
      </w:tr>
      <w:tr w:rsidR="009D18FE" w:rsidRPr="00517F29" w:rsidTr="00895E7A">
        <w:trPr>
          <w:trHeight w:val="407"/>
          <w:tblCellSpacing w:w="20" w:type="dxa"/>
        </w:trPr>
        <w:tc>
          <w:tcPr>
            <w:tcW w:w="794" w:type="dxa"/>
            <w:shd w:val="clear" w:color="auto" w:fill="FFFFFF"/>
            <w:vAlign w:val="center"/>
          </w:tcPr>
          <w:p w:rsidR="009D18FE" w:rsidRPr="00517F29" w:rsidRDefault="00E53F06" w:rsidP="009D18FE">
            <w:pPr>
              <w:jc w:val="center"/>
              <w:rPr>
                <w:rFonts w:eastAsia="Arial"/>
                <w:sz w:val="24"/>
                <w:szCs w:val="24"/>
              </w:rPr>
            </w:pPr>
            <w:r w:rsidRPr="00517F29">
              <w:rPr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137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9D18FE" w:rsidRPr="00BC448A" w:rsidRDefault="00BC448A" w:rsidP="009D18FE">
            <w:pPr>
              <w:jc w:val="center"/>
              <w:rPr>
                <w:color w:val="000000"/>
                <w:sz w:val="24"/>
                <w:szCs w:val="24"/>
              </w:rPr>
            </w:pPr>
            <w:r w:rsidRPr="00BC448A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404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BC448A" w:rsidRPr="00BC448A" w:rsidRDefault="00BC448A" w:rsidP="00BC448A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>Polimeri etilena u primarnim oblicima</w:t>
            </w:r>
          </w:p>
          <w:p w:rsidR="009D18FE" w:rsidRPr="00BC448A" w:rsidRDefault="009D18FE" w:rsidP="009D18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BC448A" w:rsidRPr="00BC448A" w:rsidRDefault="00BC448A" w:rsidP="00BC448A">
            <w:pPr>
              <w:suppressAutoHyphens w:val="0"/>
              <w:spacing w:after="0"/>
              <w:jc w:val="center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>765.352</w:t>
            </w:r>
          </w:p>
          <w:p w:rsidR="009D18FE" w:rsidRPr="00BC448A" w:rsidRDefault="009D18FE" w:rsidP="00895E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9D18FE" w:rsidRPr="00BC448A" w:rsidRDefault="00BC448A" w:rsidP="00895E7A">
            <w:pPr>
              <w:jc w:val="center"/>
              <w:rPr>
                <w:sz w:val="24"/>
                <w:szCs w:val="24"/>
              </w:rPr>
            </w:pPr>
            <w:r w:rsidRPr="00BC448A">
              <w:rPr>
                <w:sz w:val="24"/>
                <w:szCs w:val="24"/>
              </w:rPr>
              <w:t>13,9</w:t>
            </w:r>
          </w:p>
        </w:tc>
      </w:tr>
      <w:tr w:rsidR="009D18FE" w:rsidRPr="00517F29" w:rsidTr="00895E7A">
        <w:trPr>
          <w:trHeight w:val="392"/>
          <w:tblCellSpacing w:w="20" w:type="dxa"/>
        </w:trPr>
        <w:tc>
          <w:tcPr>
            <w:tcW w:w="794" w:type="dxa"/>
            <w:shd w:val="clear" w:color="auto" w:fill="FFFFFF"/>
            <w:vAlign w:val="center"/>
          </w:tcPr>
          <w:p w:rsidR="009D18FE" w:rsidRPr="00517F29" w:rsidRDefault="00E53F06" w:rsidP="009D18FE">
            <w:pPr>
              <w:jc w:val="center"/>
              <w:rPr>
                <w:rFonts w:eastAsia="Arial"/>
                <w:sz w:val="24"/>
                <w:szCs w:val="24"/>
              </w:rPr>
            </w:pPr>
            <w:r w:rsidRPr="00517F29">
              <w:rPr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137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9D18FE" w:rsidRPr="00BC448A" w:rsidRDefault="00BC448A" w:rsidP="009D18FE">
            <w:pPr>
              <w:jc w:val="center"/>
              <w:rPr>
                <w:color w:val="000000"/>
                <w:sz w:val="24"/>
                <w:szCs w:val="24"/>
              </w:rPr>
            </w:pPr>
            <w:r w:rsidRPr="00BC448A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404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BC448A" w:rsidRPr="00BC448A" w:rsidRDefault="00BC448A" w:rsidP="00BC448A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>Povrće (nekuhano ili kuhano u pari ili vodi), smrznuto</w:t>
            </w:r>
          </w:p>
          <w:p w:rsidR="009D18FE" w:rsidRPr="00BC448A" w:rsidRDefault="009D18FE" w:rsidP="00895E7A">
            <w:pPr>
              <w:suppressAutoHyphens w:val="0"/>
              <w:spacing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BC448A" w:rsidRPr="00BC448A" w:rsidRDefault="00BC448A" w:rsidP="00BC448A">
            <w:pPr>
              <w:suppressAutoHyphens w:val="0"/>
              <w:spacing w:after="0"/>
              <w:jc w:val="center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>567.960</w:t>
            </w:r>
          </w:p>
          <w:p w:rsidR="009D18FE" w:rsidRPr="00BC448A" w:rsidRDefault="009D18FE" w:rsidP="00895E7A">
            <w:pPr>
              <w:suppressAutoHyphens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9D18FE" w:rsidRPr="00BC448A" w:rsidRDefault="00BC448A" w:rsidP="00895E7A">
            <w:pPr>
              <w:jc w:val="center"/>
              <w:rPr>
                <w:sz w:val="24"/>
                <w:szCs w:val="24"/>
              </w:rPr>
            </w:pPr>
            <w:r w:rsidRPr="00BC448A">
              <w:rPr>
                <w:sz w:val="24"/>
                <w:szCs w:val="24"/>
              </w:rPr>
              <w:t>10,3</w:t>
            </w:r>
          </w:p>
        </w:tc>
      </w:tr>
      <w:tr w:rsidR="009D18FE" w:rsidRPr="00517F29" w:rsidTr="00895E7A">
        <w:trPr>
          <w:trHeight w:val="392"/>
          <w:tblCellSpacing w:w="20" w:type="dxa"/>
        </w:trPr>
        <w:tc>
          <w:tcPr>
            <w:tcW w:w="794" w:type="dxa"/>
            <w:shd w:val="clear" w:color="auto" w:fill="FFFFFF"/>
            <w:vAlign w:val="center"/>
          </w:tcPr>
          <w:p w:rsidR="009D18FE" w:rsidRPr="00517F29" w:rsidRDefault="00E53F06" w:rsidP="009D18FE">
            <w:pPr>
              <w:jc w:val="center"/>
              <w:rPr>
                <w:rFonts w:eastAsia="Arial"/>
                <w:sz w:val="24"/>
                <w:szCs w:val="24"/>
              </w:rPr>
            </w:pPr>
            <w:r w:rsidRPr="00517F29">
              <w:rPr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137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9D18FE" w:rsidRPr="00BC448A" w:rsidRDefault="00BC448A" w:rsidP="009D18FE">
            <w:pPr>
              <w:jc w:val="center"/>
              <w:rPr>
                <w:color w:val="000000"/>
                <w:sz w:val="24"/>
                <w:szCs w:val="24"/>
              </w:rPr>
            </w:pPr>
            <w:r w:rsidRPr="00BC448A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040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BC448A" w:rsidRPr="00BC448A" w:rsidRDefault="00BC448A" w:rsidP="00BC448A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 xml:space="preserve">Datulje, smokve, ananas, avokado, </w:t>
            </w:r>
            <w:proofErr w:type="spellStart"/>
            <w:r w:rsidRPr="00BC448A">
              <w:rPr>
                <w:sz w:val="24"/>
                <w:szCs w:val="24"/>
              </w:rPr>
              <w:t>guava</w:t>
            </w:r>
            <w:proofErr w:type="spellEnd"/>
            <w:r w:rsidRPr="00BC448A">
              <w:rPr>
                <w:sz w:val="24"/>
                <w:szCs w:val="24"/>
              </w:rPr>
              <w:t>, mango svježi ili suhi</w:t>
            </w:r>
          </w:p>
          <w:p w:rsidR="009D18FE" w:rsidRPr="00BC448A" w:rsidRDefault="009D18FE" w:rsidP="00895E7A">
            <w:pPr>
              <w:suppressAutoHyphens w:val="0"/>
              <w:spacing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BC448A" w:rsidRPr="00BC448A" w:rsidRDefault="00BC448A" w:rsidP="00BC448A">
            <w:pPr>
              <w:suppressAutoHyphens w:val="0"/>
              <w:spacing w:after="0"/>
              <w:jc w:val="center"/>
              <w:rPr>
                <w:sz w:val="24"/>
                <w:szCs w:val="24"/>
                <w:lang w:eastAsia="hr-HR"/>
              </w:rPr>
            </w:pPr>
            <w:r w:rsidRPr="00BC448A">
              <w:rPr>
                <w:sz w:val="24"/>
                <w:szCs w:val="24"/>
              </w:rPr>
              <w:t>502.131</w:t>
            </w:r>
          </w:p>
          <w:p w:rsidR="009D18FE" w:rsidRPr="00BC448A" w:rsidRDefault="009D18FE" w:rsidP="00895E7A">
            <w:pPr>
              <w:suppressAutoHyphens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inset" w:sz="6" w:space="0" w:color="E7E6E6" w:themeColor="background2"/>
              <w:left w:val="inset" w:sz="6" w:space="0" w:color="E7E6E6" w:themeColor="background2"/>
              <w:bottom w:val="inset" w:sz="6" w:space="0" w:color="E7E6E6" w:themeColor="background2"/>
              <w:right w:val="inset" w:sz="6" w:space="0" w:color="E7E6E6" w:themeColor="background2"/>
            </w:tcBorders>
            <w:shd w:val="clear" w:color="auto" w:fill="auto"/>
            <w:vAlign w:val="center"/>
          </w:tcPr>
          <w:p w:rsidR="009D18FE" w:rsidRPr="00BC448A" w:rsidRDefault="00BC448A" w:rsidP="00895E7A">
            <w:pPr>
              <w:jc w:val="center"/>
              <w:rPr>
                <w:sz w:val="24"/>
                <w:szCs w:val="24"/>
              </w:rPr>
            </w:pPr>
            <w:r w:rsidRPr="00BC448A">
              <w:rPr>
                <w:sz w:val="24"/>
                <w:szCs w:val="24"/>
              </w:rPr>
              <w:t>9,1</w:t>
            </w:r>
          </w:p>
        </w:tc>
      </w:tr>
      <w:tr w:rsidR="009D18FE" w:rsidRPr="00517F29" w:rsidTr="00895E7A">
        <w:trPr>
          <w:trHeight w:val="392"/>
          <w:tblCellSpacing w:w="20" w:type="dxa"/>
        </w:trPr>
        <w:tc>
          <w:tcPr>
            <w:tcW w:w="6284" w:type="dxa"/>
            <w:gridSpan w:val="3"/>
            <w:shd w:val="clear" w:color="auto" w:fill="FFFFFF"/>
            <w:vAlign w:val="center"/>
          </w:tcPr>
          <w:p w:rsidR="009D18FE" w:rsidRPr="00BC448A" w:rsidRDefault="009D18FE" w:rsidP="009D18FE">
            <w:pPr>
              <w:pStyle w:val="INormal"/>
              <w:jc w:val="left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BC448A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Prikazan izvoz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9D18FE" w:rsidRPr="00BC448A" w:rsidRDefault="00BC448A" w:rsidP="00895E7A">
            <w:pPr>
              <w:jc w:val="center"/>
              <w:rPr>
                <w:b/>
                <w:sz w:val="24"/>
                <w:szCs w:val="24"/>
              </w:rPr>
            </w:pPr>
            <w:r w:rsidRPr="00BC448A">
              <w:rPr>
                <w:b/>
                <w:sz w:val="24"/>
                <w:szCs w:val="24"/>
              </w:rPr>
              <w:t>4.041.073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D18FE" w:rsidRPr="00BC448A" w:rsidRDefault="00BC448A" w:rsidP="00895E7A">
            <w:pPr>
              <w:pStyle w:val="INormal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BC448A">
              <w:rPr>
                <w:rFonts w:cs="Arial"/>
                <w:b/>
                <w:sz w:val="24"/>
                <w:szCs w:val="24"/>
                <w:lang w:val="hr-HR"/>
              </w:rPr>
              <w:t>73,4</w:t>
            </w:r>
          </w:p>
        </w:tc>
      </w:tr>
      <w:tr w:rsidR="009D18FE" w:rsidRPr="00517F29" w:rsidTr="00895E7A">
        <w:trPr>
          <w:trHeight w:val="392"/>
          <w:tblCellSpacing w:w="20" w:type="dxa"/>
        </w:trPr>
        <w:tc>
          <w:tcPr>
            <w:tcW w:w="6284" w:type="dxa"/>
            <w:gridSpan w:val="3"/>
            <w:shd w:val="clear" w:color="auto" w:fill="FFFFFF"/>
            <w:vAlign w:val="center"/>
          </w:tcPr>
          <w:p w:rsidR="009D18FE" w:rsidRPr="00BC448A" w:rsidRDefault="009D18FE" w:rsidP="009D18FE">
            <w:pPr>
              <w:pStyle w:val="INormal"/>
              <w:jc w:val="left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BC448A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Ukupan izvoz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BC448A" w:rsidRPr="00BC448A" w:rsidRDefault="00BC448A" w:rsidP="00BC448A">
            <w:pPr>
              <w:suppressAutoHyphens w:val="0"/>
              <w:spacing w:after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BC448A">
              <w:rPr>
                <w:b/>
                <w:bCs/>
                <w:sz w:val="24"/>
                <w:szCs w:val="24"/>
              </w:rPr>
              <w:t>5.499.445</w:t>
            </w:r>
          </w:p>
          <w:p w:rsidR="009D18FE" w:rsidRPr="00BC448A" w:rsidRDefault="009D18FE" w:rsidP="00895E7A">
            <w:pPr>
              <w:suppressAutoHyphens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18FE" w:rsidRPr="00BC448A" w:rsidRDefault="009D18FE" w:rsidP="00895E7A">
            <w:pPr>
              <w:pStyle w:val="INormal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BC448A">
              <w:rPr>
                <w:rFonts w:cs="Arial"/>
                <w:b/>
                <w:sz w:val="24"/>
                <w:szCs w:val="24"/>
                <w:lang w:val="hr-HR"/>
              </w:rPr>
              <w:t>100,0</w:t>
            </w:r>
          </w:p>
        </w:tc>
      </w:tr>
    </w:tbl>
    <w:p w:rsidR="008C3671" w:rsidRDefault="00481EEC" w:rsidP="008C3671">
      <w:pPr>
        <w:pStyle w:val="INormal"/>
        <w:rPr>
          <w:rFonts w:cs="Arial"/>
          <w:i/>
          <w:lang w:val="hr-HR"/>
        </w:rPr>
      </w:pPr>
      <w:r w:rsidRPr="00517F29">
        <w:rPr>
          <w:rFonts w:cs="Arial"/>
          <w:i/>
          <w:lang w:val="hr-HR"/>
        </w:rPr>
        <w:lastRenderedPageBreak/>
        <w:t xml:space="preserve">Izvor: </w:t>
      </w:r>
      <w:r w:rsidR="00E53F06" w:rsidRPr="00517F29">
        <w:rPr>
          <w:rFonts w:cs="Arial"/>
          <w:i/>
          <w:lang w:val="hr-HR"/>
        </w:rPr>
        <w:t>DZS</w:t>
      </w:r>
    </w:p>
    <w:p w:rsidR="00895E7A" w:rsidRPr="00517F29" w:rsidRDefault="00895E7A" w:rsidP="008C3671">
      <w:pPr>
        <w:pStyle w:val="INormal"/>
        <w:rPr>
          <w:rFonts w:cs="Arial"/>
          <w:i/>
          <w:lang w:val="hr-HR"/>
        </w:rPr>
      </w:pPr>
    </w:p>
    <w:tbl>
      <w:tblPr>
        <w:tblW w:w="90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53"/>
        <w:gridCol w:w="1418"/>
        <w:gridCol w:w="3907"/>
        <w:gridCol w:w="1414"/>
        <w:gridCol w:w="1432"/>
      </w:tblGrid>
      <w:tr w:rsidR="00481EEC" w:rsidRPr="00517F29" w:rsidTr="00786790">
        <w:trPr>
          <w:trHeight w:val="569"/>
          <w:tblCellSpacing w:w="20" w:type="dxa"/>
        </w:trPr>
        <w:tc>
          <w:tcPr>
            <w:tcW w:w="8944" w:type="dxa"/>
            <w:gridSpan w:val="5"/>
            <w:shd w:val="clear" w:color="auto" w:fill="9CC2E5" w:themeFill="accent1" w:themeFillTint="99"/>
            <w:vAlign w:val="center"/>
          </w:tcPr>
          <w:p w:rsidR="00481EEC" w:rsidRPr="00517F29" w:rsidRDefault="00B42A07" w:rsidP="00E53F06">
            <w:pPr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STRUKTURA NAJZNAČAJNIJIH IZVOZNIH</w:t>
            </w:r>
            <w:r w:rsidR="008C3671" w:rsidRPr="00517F29">
              <w:rPr>
                <w:rFonts w:eastAsia="Arial"/>
                <w:b/>
                <w:sz w:val="24"/>
                <w:szCs w:val="24"/>
              </w:rPr>
              <w:t xml:space="preserve"> PROIZVODA </w:t>
            </w:r>
            <w:r w:rsidR="00C175E7">
              <w:rPr>
                <w:rFonts w:eastAsia="Arial"/>
                <w:b/>
                <w:sz w:val="24"/>
                <w:szCs w:val="24"/>
              </w:rPr>
              <w:t xml:space="preserve"> 2021</w:t>
            </w:r>
            <w:r w:rsidR="00E53F06" w:rsidRPr="00517F29">
              <w:rPr>
                <w:rFonts w:eastAsia="Arial"/>
                <w:b/>
                <w:sz w:val="24"/>
                <w:szCs w:val="24"/>
              </w:rPr>
              <w:t>.</w:t>
            </w:r>
          </w:p>
        </w:tc>
      </w:tr>
      <w:tr w:rsidR="00481EEC" w:rsidRPr="00517F29" w:rsidTr="009C6695">
        <w:trPr>
          <w:trHeight w:val="407"/>
          <w:tblCellSpacing w:w="20" w:type="dxa"/>
        </w:trPr>
        <w:tc>
          <w:tcPr>
            <w:tcW w:w="780" w:type="dxa"/>
            <w:shd w:val="clear" w:color="auto" w:fill="FFFFFF"/>
            <w:vAlign w:val="center"/>
          </w:tcPr>
          <w:p w:rsidR="00481EEC" w:rsidRPr="00517F29" w:rsidRDefault="00481EEC" w:rsidP="009C6695">
            <w:pPr>
              <w:jc w:val="center"/>
              <w:rPr>
                <w:rFonts w:eastAsia="Arial"/>
                <w:b/>
                <w:color w:val="1F4E79" w:themeColor="accent1" w:themeShade="80"/>
                <w:sz w:val="24"/>
                <w:szCs w:val="24"/>
              </w:rPr>
            </w:pPr>
            <w:r w:rsidRPr="00517F29">
              <w:rPr>
                <w:rFonts w:eastAsia="Arial"/>
                <w:b/>
                <w:color w:val="1F4E79" w:themeColor="accent1" w:themeShade="80"/>
                <w:sz w:val="24"/>
                <w:szCs w:val="24"/>
              </w:rPr>
              <w:t>R.br.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481EEC" w:rsidRPr="00517F29" w:rsidRDefault="00481EEC" w:rsidP="009C6695">
            <w:pPr>
              <w:pStyle w:val="INormal"/>
              <w:jc w:val="center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Tarifna oznaka</w:t>
            </w:r>
          </w:p>
        </w:tc>
        <w:tc>
          <w:tcPr>
            <w:tcW w:w="3876" w:type="dxa"/>
            <w:shd w:val="clear" w:color="auto" w:fill="FFFFFF"/>
            <w:vAlign w:val="center"/>
          </w:tcPr>
          <w:p w:rsidR="00481EEC" w:rsidRPr="00517F29" w:rsidRDefault="00481EEC" w:rsidP="009C6695">
            <w:pPr>
              <w:pStyle w:val="INormal"/>
              <w:jc w:val="center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Naziv robe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481EEC" w:rsidRPr="00517F29" w:rsidRDefault="005728FC" w:rsidP="009C6695">
            <w:pPr>
              <w:pStyle w:val="INormal"/>
              <w:jc w:val="center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USD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481EEC" w:rsidRPr="00517F29" w:rsidRDefault="00481EEC" w:rsidP="009C6695">
            <w:pPr>
              <w:pStyle w:val="INormal"/>
              <w:jc w:val="center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517F29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%</w:t>
            </w:r>
          </w:p>
        </w:tc>
      </w:tr>
      <w:tr w:rsidR="005728FC" w:rsidRPr="00517F29" w:rsidTr="007D73E6">
        <w:trPr>
          <w:trHeight w:val="407"/>
          <w:tblCellSpacing w:w="20" w:type="dxa"/>
        </w:trPr>
        <w:tc>
          <w:tcPr>
            <w:tcW w:w="780" w:type="dxa"/>
            <w:shd w:val="clear" w:color="auto" w:fill="FFFFFF"/>
            <w:vAlign w:val="center"/>
          </w:tcPr>
          <w:p w:rsidR="005728FC" w:rsidRPr="00E77895" w:rsidRDefault="005728FC" w:rsidP="005728FC">
            <w:pPr>
              <w:jc w:val="center"/>
              <w:rPr>
                <w:rFonts w:eastAsia="Arial"/>
                <w:sz w:val="24"/>
                <w:szCs w:val="24"/>
              </w:rPr>
            </w:pPr>
            <w:r w:rsidRPr="00E77895"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5728FC" w:rsidRPr="00E77895" w:rsidRDefault="00E77895" w:rsidP="005728FC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E77895">
              <w:rPr>
                <w:rFonts w:cs="Arial"/>
                <w:sz w:val="24"/>
                <w:szCs w:val="24"/>
                <w:lang w:val="hr-HR"/>
              </w:rPr>
              <w:t>3002</w:t>
            </w:r>
          </w:p>
        </w:tc>
        <w:tc>
          <w:tcPr>
            <w:tcW w:w="3876" w:type="dxa"/>
            <w:shd w:val="clear" w:color="auto" w:fill="FFFFFF"/>
            <w:vAlign w:val="center"/>
          </w:tcPr>
          <w:p w:rsidR="00E77895" w:rsidRPr="00E77895" w:rsidRDefault="00E77895" w:rsidP="00E77895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  <w:r w:rsidRPr="00E77895">
              <w:rPr>
                <w:sz w:val="24"/>
                <w:szCs w:val="24"/>
              </w:rPr>
              <w:t xml:space="preserve">Ljudska krv; životinjska krv, </w:t>
            </w:r>
            <w:proofErr w:type="spellStart"/>
            <w:r w:rsidRPr="00E77895">
              <w:rPr>
                <w:sz w:val="24"/>
                <w:szCs w:val="24"/>
              </w:rPr>
              <w:t>antiserumi</w:t>
            </w:r>
            <w:proofErr w:type="spellEnd"/>
            <w:r w:rsidRPr="00E77895">
              <w:rPr>
                <w:sz w:val="24"/>
                <w:szCs w:val="24"/>
              </w:rPr>
              <w:t xml:space="preserve"> cjepiva </w:t>
            </w:r>
            <w:r>
              <w:rPr>
                <w:sz w:val="24"/>
                <w:szCs w:val="24"/>
              </w:rPr>
              <w:t xml:space="preserve">i sl. </w:t>
            </w:r>
            <w:r w:rsidRPr="00E77895">
              <w:rPr>
                <w:sz w:val="24"/>
                <w:szCs w:val="24"/>
              </w:rPr>
              <w:t>proizvodi</w:t>
            </w:r>
          </w:p>
          <w:p w:rsidR="005728FC" w:rsidRPr="00E77895" w:rsidRDefault="005728FC" w:rsidP="005728FC">
            <w:pPr>
              <w:pStyle w:val="INormal"/>
              <w:jc w:val="left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E77895" w:rsidRPr="00E77895" w:rsidRDefault="00E77895" w:rsidP="00E77895">
            <w:pPr>
              <w:suppressAutoHyphens w:val="0"/>
              <w:spacing w:after="0"/>
              <w:jc w:val="center"/>
              <w:rPr>
                <w:sz w:val="24"/>
                <w:szCs w:val="24"/>
                <w:lang w:eastAsia="hr-HR"/>
              </w:rPr>
            </w:pPr>
            <w:r w:rsidRPr="00E77895">
              <w:rPr>
                <w:sz w:val="24"/>
                <w:szCs w:val="24"/>
              </w:rPr>
              <w:t>1.069.383</w:t>
            </w:r>
          </w:p>
          <w:p w:rsidR="005728FC" w:rsidRPr="00E77895" w:rsidRDefault="005728FC" w:rsidP="00895E7A">
            <w:pPr>
              <w:suppressAutoHyphens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5728FC" w:rsidRPr="00E77895" w:rsidRDefault="00E77895" w:rsidP="005728FC">
            <w:pPr>
              <w:jc w:val="center"/>
              <w:rPr>
                <w:sz w:val="24"/>
                <w:szCs w:val="24"/>
              </w:rPr>
            </w:pPr>
            <w:r w:rsidRPr="00E77895">
              <w:rPr>
                <w:sz w:val="24"/>
                <w:szCs w:val="24"/>
              </w:rPr>
              <w:t>25,4</w:t>
            </w:r>
          </w:p>
        </w:tc>
      </w:tr>
      <w:tr w:rsidR="00411379" w:rsidRPr="00517F29" w:rsidTr="007D73E6">
        <w:trPr>
          <w:trHeight w:val="407"/>
          <w:tblCellSpacing w:w="20" w:type="dxa"/>
        </w:trPr>
        <w:tc>
          <w:tcPr>
            <w:tcW w:w="780" w:type="dxa"/>
            <w:shd w:val="clear" w:color="auto" w:fill="FFFFFF"/>
            <w:vAlign w:val="center"/>
          </w:tcPr>
          <w:p w:rsidR="00411379" w:rsidRPr="00E77895" w:rsidRDefault="00411379" w:rsidP="005728FC">
            <w:pPr>
              <w:jc w:val="center"/>
              <w:rPr>
                <w:rFonts w:eastAsia="Arial"/>
                <w:sz w:val="24"/>
                <w:szCs w:val="24"/>
              </w:rPr>
            </w:pPr>
            <w:r w:rsidRPr="00E77895">
              <w:rPr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411379" w:rsidRPr="00E77895" w:rsidRDefault="00E77895" w:rsidP="005728FC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E77895">
              <w:rPr>
                <w:rFonts w:cs="Arial"/>
                <w:sz w:val="24"/>
                <w:szCs w:val="24"/>
                <w:lang w:val="hr-HR"/>
              </w:rPr>
              <w:t>2401</w:t>
            </w:r>
          </w:p>
        </w:tc>
        <w:tc>
          <w:tcPr>
            <w:tcW w:w="3876" w:type="dxa"/>
            <w:shd w:val="clear" w:color="auto" w:fill="FFFFFF"/>
            <w:vAlign w:val="center"/>
          </w:tcPr>
          <w:p w:rsidR="00E77895" w:rsidRPr="00E77895" w:rsidRDefault="00E77895" w:rsidP="00E77895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  <w:r w:rsidRPr="00E77895">
              <w:rPr>
                <w:sz w:val="24"/>
                <w:szCs w:val="24"/>
              </w:rPr>
              <w:t>Neprerađeni duhan</w:t>
            </w:r>
          </w:p>
          <w:p w:rsidR="00411379" w:rsidRPr="00E77895" w:rsidRDefault="00411379" w:rsidP="00895E7A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E77895" w:rsidRPr="00E77895" w:rsidRDefault="00E77895" w:rsidP="00E77895">
            <w:pPr>
              <w:suppressAutoHyphens w:val="0"/>
              <w:spacing w:after="0"/>
              <w:jc w:val="center"/>
              <w:rPr>
                <w:sz w:val="24"/>
                <w:szCs w:val="24"/>
                <w:lang w:eastAsia="hr-HR"/>
              </w:rPr>
            </w:pPr>
            <w:r w:rsidRPr="00E77895">
              <w:rPr>
                <w:sz w:val="24"/>
                <w:szCs w:val="24"/>
              </w:rPr>
              <w:t>665.295</w:t>
            </w:r>
          </w:p>
          <w:p w:rsidR="00411379" w:rsidRPr="00E77895" w:rsidRDefault="00411379" w:rsidP="00895E7A">
            <w:pPr>
              <w:suppressAutoHyphens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411379" w:rsidRPr="00E77895" w:rsidRDefault="00E77895" w:rsidP="005728FC">
            <w:pPr>
              <w:jc w:val="center"/>
              <w:rPr>
                <w:sz w:val="24"/>
                <w:szCs w:val="24"/>
              </w:rPr>
            </w:pPr>
            <w:r w:rsidRPr="00E77895">
              <w:rPr>
                <w:sz w:val="24"/>
                <w:szCs w:val="24"/>
              </w:rPr>
              <w:t>15,1</w:t>
            </w:r>
          </w:p>
        </w:tc>
      </w:tr>
      <w:tr w:rsidR="00E53F06" w:rsidRPr="00517F29" w:rsidTr="007D73E6">
        <w:trPr>
          <w:trHeight w:val="407"/>
          <w:tblCellSpacing w:w="20" w:type="dxa"/>
        </w:trPr>
        <w:tc>
          <w:tcPr>
            <w:tcW w:w="780" w:type="dxa"/>
            <w:shd w:val="clear" w:color="auto" w:fill="FFFFFF"/>
            <w:vAlign w:val="center"/>
          </w:tcPr>
          <w:p w:rsidR="00E53F06" w:rsidRPr="00E77895" w:rsidRDefault="00411379" w:rsidP="005728FC">
            <w:pPr>
              <w:jc w:val="center"/>
              <w:rPr>
                <w:rFonts w:eastAsia="Arial"/>
                <w:sz w:val="24"/>
                <w:szCs w:val="24"/>
              </w:rPr>
            </w:pPr>
            <w:r w:rsidRPr="00E77895">
              <w:rPr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E53F06" w:rsidRPr="00E77895" w:rsidRDefault="00E77895" w:rsidP="005728FC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E77895">
              <w:rPr>
                <w:rFonts w:cs="Arial"/>
                <w:sz w:val="24"/>
                <w:szCs w:val="24"/>
                <w:lang w:val="hr-HR"/>
              </w:rPr>
              <w:t>8504</w:t>
            </w:r>
          </w:p>
        </w:tc>
        <w:tc>
          <w:tcPr>
            <w:tcW w:w="3876" w:type="dxa"/>
            <w:shd w:val="clear" w:color="auto" w:fill="FFFFFF"/>
            <w:vAlign w:val="center"/>
          </w:tcPr>
          <w:p w:rsidR="00E77895" w:rsidRPr="00E77895" w:rsidRDefault="00E77895" w:rsidP="00E77895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  <w:r w:rsidRPr="00E77895">
              <w:rPr>
                <w:sz w:val="24"/>
                <w:szCs w:val="24"/>
              </w:rPr>
              <w:t>Električni transformatori, statičk</w:t>
            </w:r>
            <w:r>
              <w:rPr>
                <w:sz w:val="24"/>
                <w:szCs w:val="24"/>
              </w:rPr>
              <w:t>i pretvarači</w:t>
            </w:r>
            <w:r w:rsidRPr="00E77895">
              <w:rPr>
                <w:sz w:val="24"/>
                <w:szCs w:val="24"/>
              </w:rPr>
              <w:t xml:space="preserve"> i dijelovi za njih</w:t>
            </w:r>
          </w:p>
          <w:p w:rsidR="00E53F06" w:rsidRPr="00E77895" w:rsidRDefault="00E53F06" w:rsidP="0048483F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E77895" w:rsidRPr="00E77895" w:rsidRDefault="00E77895" w:rsidP="00E77895">
            <w:pPr>
              <w:suppressAutoHyphens w:val="0"/>
              <w:spacing w:after="0"/>
              <w:jc w:val="center"/>
              <w:rPr>
                <w:sz w:val="24"/>
                <w:szCs w:val="24"/>
                <w:lang w:eastAsia="hr-HR"/>
              </w:rPr>
            </w:pPr>
            <w:r w:rsidRPr="00E77895">
              <w:rPr>
                <w:sz w:val="24"/>
                <w:szCs w:val="24"/>
              </w:rPr>
              <w:t>453.135</w:t>
            </w:r>
          </w:p>
          <w:p w:rsidR="00E53F06" w:rsidRPr="00E77895" w:rsidRDefault="00E53F06" w:rsidP="00895E7A">
            <w:pPr>
              <w:suppressAutoHyphens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E53F06" w:rsidRPr="00E77895" w:rsidRDefault="00E77895" w:rsidP="005728FC">
            <w:pPr>
              <w:jc w:val="center"/>
              <w:rPr>
                <w:sz w:val="24"/>
                <w:szCs w:val="24"/>
              </w:rPr>
            </w:pPr>
            <w:r w:rsidRPr="00E77895">
              <w:rPr>
                <w:sz w:val="24"/>
                <w:szCs w:val="24"/>
              </w:rPr>
              <w:t>10,8</w:t>
            </w:r>
          </w:p>
        </w:tc>
      </w:tr>
      <w:tr w:rsidR="00E53F06" w:rsidRPr="00517F29" w:rsidTr="007D73E6">
        <w:trPr>
          <w:trHeight w:val="407"/>
          <w:tblCellSpacing w:w="20" w:type="dxa"/>
        </w:trPr>
        <w:tc>
          <w:tcPr>
            <w:tcW w:w="780" w:type="dxa"/>
            <w:shd w:val="clear" w:color="auto" w:fill="FFFFFF"/>
            <w:vAlign w:val="center"/>
          </w:tcPr>
          <w:p w:rsidR="00E53F06" w:rsidRPr="00E77895" w:rsidRDefault="00411379" w:rsidP="005728FC">
            <w:pPr>
              <w:jc w:val="center"/>
              <w:rPr>
                <w:rFonts w:eastAsia="Arial"/>
                <w:sz w:val="24"/>
                <w:szCs w:val="24"/>
              </w:rPr>
            </w:pPr>
            <w:r w:rsidRPr="00E77895">
              <w:rPr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E53F06" w:rsidRPr="00E77895" w:rsidRDefault="00E77895" w:rsidP="005728FC">
            <w:pPr>
              <w:pStyle w:val="INormal"/>
              <w:jc w:val="center"/>
              <w:rPr>
                <w:rFonts w:cs="Arial"/>
                <w:sz w:val="24"/>
                <w:szCs w:val="24"/>
                <w:lang w:val="hr-HR"/>
              </w:rPr>
            </w:pPr>
            <w:r w:rsidRPr="00E77895">
              <w:rPr>
                <w:rFonts w:cs="Arial"/>
                <w:sz w:val="24"/>
                <w:szCs w:val="24"/>
                <w:lang w:val="hr-HR"/>
              </w:rPr>
              <w:t>8483</w:t>
            </w:r>
          </w:p>
        </w:tc>
        <w:tc>
          <w:tcPr>
            <w:tcW w:w="3876" w:type="dxa"/>
            <w:shd w:val="clear" w:color="auto" w:fill="FFFFFF"/>
            <w:vAlign w:val="center"/>
          </w:tcPr>
          <w:p w:rsidR="00E77895" w:rsidRPr="00E77895" w:rsidRDefault="00E77895" w:rsidP="00E77895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</w:p>
          <w:p w:rsidR="00E77895" w:rsidRPr="00E77895" w:rsidRDefault="00E77895" w:rsidP="00E77895">
            <w:pPr>
              <w:suppressAutoHyphens w:val="0"/>
              <w:spacing w:after="0"/>
              <w:jc w:val="left"/>
              <w:rPr>
                <w:sz w:val="24"/>
                <w:szCs w:val="24"/>
                <w:lang w:eastAsia="hr-HR"/>
              </w:rPr>
            </w:pPr>
            <w:r w:rsidRPr="00E77895">
              <w:rPr>
                <w:sz w:val="24"/>
                <w:szCs w:val="24"/>
                <w:lang w:eastAsia="hr-HR"/>
              </w:rPr>
              <w:t xml:space="preserve">Transmisijska vratila (uključujući bregasta i </w:t>
            </w:r>
            <w:proofErr w:type="spellStart"/>
            <w:r w:rsidRPr="00E77895">
              <w:rPr>
                <w:sz w:val="24"/>
                <w:szCs w:val="24"/>
                <w:lang w:eastAsia="hr-HR"/>
              </w:rPr>
              <w:t>koljeničasta</w:t>
            </w:r>
            <w:proofErr w:type="spellEnd"/>
            <w:r w:rsidRPr="00E77895">
              <w:rPr>
                <w:sz w:val="24"/>
                <w:szCs w:val="24"/>
                <w:lang w:eastAsia="hr-HR"/>
              </w:rPr>
              <w:t xml:space="preserve"> vratila) i koljena vratila; dijelovi za njih</w:t>
            </w:r>
          </w:p>
          <w:p w:rsidR="00E53F06" w:rsidRPr="00E77895" w:rsidRDefault="00E53F06" w:rsidP="00895E7A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E77895" w:rsidRPr="00E77895" w:rsidRDefault="00E77895" w:rsidP="00E77895">
            <w:pPr>
              <w:suppressAutoHyphens w:val="0"/>
              <w:spacing w:after="0"/>
              <w:jc w:val="center"/>
              <w:rPr>
                <w:sz w:val="24"/>
                <w:szCs w:val="24"/>
                <w:lang w:eastAsia="hr-HR"/>
              </w:rPr>
            </w:pPr>
            <w:r w:rsidRPr="00E77895">
              <w:rPr>
                <w:sz w:val="24"/>
                <w:szCs w:val="24"/>
              </w:rPr>
              <w:t>452.294</w:t>
            </w:r>
          </w:p>
          <w:p w:rsidR="00E53F06" w:rsidRPr="00E77895" w:rsidRDefault="00E53F06" w:rsidP="00895E7A">
            <w:pPr>
              <w:suppressAutoHyphens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  <w:vAlign w:val="center"/>
          </w:tcPr>
          <w:p w:rsidR="00E53F06" w:rsidRPr="00E77895" w:rsidRDefault="00E77895" w:rsidP="005728FC">
            <w:pPr>
              <w:jc w:val="center"/>
              <w:rPr>
                <w:sz w:val="24"/>
                <w:szCs w:val="24"/>
              </w:rPr>
            </w:pPr>
            <w:r w:rsidRPr="00E77895">
              <w:rPr>
                <w:sz w:val="24"/>
                <w:szCs w:val="24"/>
              </w:rPr>
              <w:t>10,7</w:t>
            </w:r>
          </w:p>
        </w:tc>
      </w:tr>
      <w:tr w:rsidR="005728FC" w:rsidRPr="00517F29" w:rsidTr="005B1AF8">
        <w:trPr>
          <w:trHeight w:val="392"/>
          <w:tblCellSpacing w:w="20" w:type="dxa"/>
        </w:trPr>
        <w:tc>
          <w:tcPr>
            <w:tcW w:w="6116" w:type="dxa"/>
            <w:gridSpan w:val="3"/>
            <w:shd w:val="clear" w:color="auto" w:fill="FFFFFF"/>
            <w:vAlign w:val="center"/>
          </w:tcPr>
          <w:p w:rsidR="005728FC" w:rsidRPr="00E77895" w:rsidRDefault="00B42A07" w:rsidP="005728FC">
            <w:pPr>
              <w:pStyle w:val="INormal"/>
              <w:jc w:val="left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E77895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Prikazan izvoz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5728FC" w:rsidRPr="00E77895" w:rsidRDefault="00E77895" w:rsidP="00E77895">
            <w:pPr>
              <w:suppressAutoHyphens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E77895">
              <w:rPr>
                <w:b/>
                <w:sz w:val="24"/>
                <w:szCs w:val="24"/>
              </w:rPr>
              <w:t>2.640.107</w:t>
            </w:r>
          </w:p>
        </w:tc>
        <w:tc>
          <w:tcPr>
            <w:tcW w:w="1374" w:type="dxa"/>
            <w:shd w:val="clear" w:color="auto" w:fill="FFFFFF"/>
          </w:tcPr>
          <w:p w:rsidR="005728FC" w:rsidRPr="00E77895" w:rsidRDefault="00E77895" w:rsidP="005728FC">
            <w:pPr>
              <w:pStyle w:val="INormal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E77895">
              <w:rPr>
                <w:rFonts w:cs="Arial"/>
                <w:b/>
                <w:sz w:val="24"/>
                <w:szCs w:val="24"/>
                <w:lang w:val="hr-HR"/>
              </w:rPr>
              <w:t>62,0</w:t>
            </w:r>
          </w:p>
        </w:tc>
      </w:tr>
      <w:tr w:rsidR="005728FC" w:rsidRPr="00517F29" w:rsidTr="005B1AF8">
        <w:trPr>
          <w:trHeight w:val="392"/>
          <w:tblCellSpacing w:w="20" w:type="dxa"/>
        </w:trPr>
        <w:tc>
          <w:tcPr>
            <w:tcW w:w="6116" w:type="dxa"/>
            <w:gridSpan w:val="3"/>
            <w:shd w:val="clear" w:color="auto" w:fill="FFFFFF"/>
            <w:vAlign w:val="center"/>
          </w:tcPr>
          <w:p w:rsidR="005728FC" w:rsidRPr="00E77895" w:rsidRDefault="00B42A07" w:rsidP="005728FC">
            <w:pPr>
              <w:pStyle w:val="INormal"/>
              <w:jc w:val="left"/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E77895">
              <w:rPr>
                <w:rFonts w:cs="Arial"/>
                <w:b/>
                <w:color w:val="1F4E79" w:themeColor="accent1" w:themeShade="80"/>
                <w:sz w:val="24"/>
                <w:szCs w:val="24"/>
                <w:lang w:val="hr-HR"/>
              </w:rPr>
              <w:t>Ukupan izvoz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E77895" w:rsidRPr="00E77895" w:rsidRDefault="00E77895" w:rsidP="00E77895">
            <w:pPr>
              <w:suppressAutoHyphens w:val="0"/>
              <w:spacing w:after="0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E77895">
              <w:rPr>
                <w:b/>
                <w:bCs/>
                <w:sz w:val="24"/>
                <w:szCs w:val="24"/>
              </w:rPr>
              <w:t>4.212.157</w:t>
            </w:r>
          </w:p>
          <w:p w:rsidR="005728FC" w:rsidRPr="00E77895" w:rsidRDefault="005728FC" w:rsidP="00572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</w:tcPr>
          <w:p w:rsidR="005728FC" w:rsidRPr="00E77895" w:rsidRDefault="00E77895" w:rsidP="005728FC">
            <w:pPr>
              <w:pStyle w:val="INormal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E77895">
              <w:rPr>
                <w:rFonts w:cs="Arial"/>
                <w:b/>
                <w:sz w:val="24"/>
                <w:szCs w:val="24"/>
                <w:lang w:val="hr-HR"/>
              </w:rPr>
              <w:t>100,0</w:t>
            </w:r>
          </w:p>
        </w:tc>
      </w:tr>
    </w:tbl>
    <w:p w:rsidR="00D235F8" w:rsidRPr="00517F29" w:rsidRDefault="00481EEC" w:rsidP="00D235F8">
      <w:pPr>
        <w:rPr>
          <w:i/>
          <w:sz w:val="24"/>
          <w:szCs w:val="24"/>
        </w:rPr>
      </w:pPr>
      <w:r w:rsidRPr="00517F29">
        <w:rPr>
          <w:i/>
          <w:sz w:val="24"/>
          <w:szCs w:val="24"/>
        </w:rPr>
        <w:t xml:space="preserve">Izvor: </w:t>
      </w:r>
      <w:r w:rsidR="00E53F06" w:rsidRPr="00517F29">
        <w:rPr>
          <w:i/>
          <w:sz w:val="24"/>
          <w:szCs w:val="24"/>
        </w:rPr>
        <w:t>DZS</w:t>
      </w:r>
    </w:p>
    <w:p w:rsidR="00AC5EC5" w:rsidRPr="00517F29" w:rsidRDefault="00AC5EC5" w:rsidP="00D235F8">
      <w:pPr>
        <w:rPr>
          <w:i/>
          <w:sz w:val="24"/>
          <w:szCs w:val="24"/>
        </w:rPr>
      </w:pPr>
    </w:p>
    <w:p w:rsidR="00D235F8" w:rsidRPr="00517F29" w:rsidRDefault="00D235F8" w:rsidP="00D23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eastAsia="Arial"/>
          <w:b/>
          <w:sz w:val="24"/>
          <w:szCs w:val="24"/>
        </w:rPr>
      </w:pPr>
      <w:r w:rsidRPr="00517F29">
        <w:rPr>
          <w:rFonts w:eastAsia="Arial"/>
          <w:b/>
          <w:sz w:val="24"/>
          <w:szCs w:val="24"/>
        </w:rPr>
        <w:t>Međunarodni ugovori iz područja gospodarstva</w:t>
      </w:r>
    </w:p>
    <w:p w:rsidR="00933910" w:rsidRPr="00517F29" w:rsidRDefault="00933910" w:rsidP="00933910">
      <w:pPr>
        <w:numPr>
          <w:ilvl w:val="0"/>
          <w:numId w:val="1"/>
        </w:numPr>
        <w:suppressAutoHyphens w:val="0"/>
        <w:spacing w:after="0"/>
        <w:rPr>
          <w:i/>
          <w:sz w:val="24"/>
          <w:szCs w:val="24"/>
        </w:rPr>
      </w:pPr>
      <w:r w:rsidRPr="00517F29">
        <w:rPr>
          <w:b/>
          <w:sz w:val="24"/>
          <w:szCs w:val="24"/>
        </w:rPr>
        <w:t>Memorandum o razumijevanju između Vlade Republike Hrvatske i Vlade Islamske Republike Iran o suradnji na području turizma</w:t>
      </w:r>
      <w:r w:rsidRPr="00517F29">
        <w:rPr>
          <w:rFonts w:ascii="Tahoma" w:hAnsi="Tahoma" w:cs="Tahoma"/>
          <w:color w:val="707B80"/>
          <w:sz w:val="24"/>
          <w:szCs w:val="24"/>
        </w:rPr>
        <w:t xml:space="preserve">  </w:t>
      </w:r>
      <w:r w:rsidRPr="00517F29">
        <w:rPr>
          <w:i/>
          <w:sz w:val="24"/>
          <w:szCs w:val="24"/>
        </w:rPr>
        <w:t>(potpisan 16.10.2003., objava u NN-MU 03/2004, stupio na snagu 01.12.2004.)</w:t>
      </w:r>
    </w:p>
    <w:p w:rsidR="00933910" w:rsidRPr="00517F29" w:rsidRDefault="00933910" w:rsidP="00933910">
      <w:pPr>
        <w:numPr>
          <w:ilvl w:val="0"/>
          <w:numId w:val="1"/>
        </w:numPr>
        <w:suppressAutoHyphens w:val="0"/>
        <w:spacing w:after="0"/>
        <w:rPr>
          <w:sz w:val="24"/>
          <w:szCs w:val="24"/>
        </w:rPr>
      </w:pPr>
      <w:r w:rsidRPr="00517F29">
        <w:rPr>
          <w:b/>
          <w:sz w:val="24"/>
          <w:szCs w:val="24"/>
        </w:rPr>
        <w:t>Memorandum o razumijevanju između Ministarstva pomorstva, prometa i veza Republike Hrvatske i Ministarstva cesta i transporta Islamske Republike Iran</w:t>
      </w:r>
      <w:r w:rsidRPr="00517F29">
        <w:rPr>
          <w:i/>
          <w:sz w:val="24"/>
          <w:szCs w:val="24"/>
        </w:rPr>
        <w:t xml:space="preserve"> </w:t>
      </w:r>
      <w:r w:rsidRPr="00517F29">
        <w:rPr>
          <w:sz w:val="24"/>
          <w:szCs w:val="24"/>
        </w:rPr>
        <w:t>(</w:t>
      </w:r>
      <w:r w:rsidRPr="00517F29">
        <w:rPr>
          <w:i/>
          <w:sz w:val="24"/>
          <w:szCs w:val="24"/>
        </w:rPr>
        <w:t>potpisan 9.10.2003., stupio na snagu 10.10.2003.</w:t>
      </w:r>
      <w:r w:rsidRPr="00517F29">
        <w:rPr>
          <w:sz w:val="24"/>
          <w:szCs w:val="24"/>
        </w:rPr>
        <w:t>)</w:t>
      </w:r>
    </w:p>
    <w:p w:rsidR="00933910" w:rsidRPr="00517F29" w:rsidRDefault="00933910" w:rsidP="00933910">
      <w:pPr>
        <w:numPr>
          <w:ilvl w:val="0"/>
          <w:numId w:val="1"/>
        </w:numPr>
        <w:suppressAutoHyphens w:val="0"/>
        <w:spacing w:after="0"/>
        <w:rPr>
          <w:sz w:val="24"/>
          <w:szCs w:val="24"/>
        </w:rPr>
      </w:pPr>
      <w:r w:rsidRPr="00517F29">
        <w:rPr>
          <w:b/>
          <w:sz w:val="24"/>
          <w:szCs w:val="24"/>
        </w:rPr>
        <w:t>Ugovor između Vlade Republike Hrvatske i Vlade Islamske Republike Iran o izbjegavanju dvostrukog oporezivanja porezima na dohodak i na imovinu</w:t>
      </w:r>
      <w:r w:rsidRPr="00517F29">
        <w:rPr>
          <w:i/>
          <w:sz w:val="24"/>
          <w:szCs w:val="24"/>
        </w:rPr>
        <w:t xml:space="preserve"> </w:t>
      </w:r>
      <w:r w:rsidRPr="00517F29">
        <w:rPr>
          <w:sz w:val="24"/>
          <w:szCs w:val="24"/>
        </w:rPr>
        <w:t>(</w:t>
      </w:r>
      <w:r w:rsidRPr="00517F29">
        <w:rPr>
          <w:i/>
          <w:sz w:val="24"/>
          <w:szCs w:val="24"/>
        </w:rPr>
        <w:t>potpisan 20.05.2003., objava u NN-MU 10/2004, stupio na snagu 30.10.2008., objava stupanja na snagu 7/2008.</w:t>
      </w:r>
      <w:r w:rsidRPr="00517F29">
        <w:rPr>
          <w:sz w:val="24"/>
          <w:szCs w:val="24"/>
        </w:rPr>
        <w:t>)</w:t>
      </w:r>
    </w:p>
    <w:p w:rsidR="00933910" w:rsidRPr="00517F29" w:rsidRDefault="00933910" w:rsidP="00173719">
      <w:pPr>
        <w:numPr>
          <w:ilvl w:val="0"/>
          <w:numId w:val="1"/>
        </w:numPr>
        <w:suppressAutoHyphens w:val="0"/>
        <w:spacing w:after="0"/>
        <w:rPr>
          <w:sz w:val="24"/>
          <w:szCs w:val="24"/>
        </w:rPr>
      </w:pPr>
      <w:r w:rsidRPr="00517F29">
        <w:rPr>
          <w:b/>
          <w:i/>
          <w:sz w:val="24"/>
          <w:szCs w:val="24"/>
        </w:rPr>
        <w:t>Ugovor o uzajamnom poticanju i zaštiti ulaganja Vlade Republike Hrvatske i Vlade Islamske Republike Iran,</w:t>
      </w:r>
      <w:r w:rsidRPr="00517F29">
        <w:rPr>
          <w:sz w:val="24"/>
          <w:szCs w:val="24"/>
        </w:rPr>
        <w:t xml:space="preserve"> (</w:t>
      </w:r>
      <w:r w:rsidRPr="00517F29">
        <w:rPr>
          <w:i/>
          <w:sz w:val="24"/>
          <w:szCs w:val="24"/>
        </w:rPr>
        <w:t>potpisan 17.05.2000., objava u NN-MU 15/2000, stupio na snagu 20.07.2005.</w:t>
      </w:r>
      <w:r w:rsidR="00173719" w:rsidRPr="00517F29">
        <w:rPr>
          <w:i/>
          <w:sz w:val="24"/>
          <w:szCs w:val="24"/>
        </w:rPr>
        <w:t>;</w:t>
      </w:r>
      <w:r w:rsidR="00173719" w:rsidRPr="00517F29">
        <w:t xml:space="preserve"> </w:t>
      </w:r>
      <w:r w:rsidR="00173719" w:rsidRPr="00517F29">
        <w:rPr>
          <w:i/>
          <w:sz w:val="24"/>
          <w:szCs w:val="24"/>
        </w:rPr>
        <w:t>dodatni protokol o izmjenama i dopunama Ugovora o poticanju i uzajamnoj zaštiti ulaganja potpisan je 2. travnja 2019. godine u Zagrebu, a stupiti će na snagu nakon što se provedu ratifikacije u obje zemlje.</w:t>
      </w:r>
      <w:r w:rsidRPr="00517F29">
        <w:rPr>
          <w:sz w:val="24"/>
          <w:szCs w:val="24"/>
        </w:rPr>
        <w:t>)</w:t>
      </w:r>
    </w:p>
    <w:p w:rsidR="00933910" w:rsidRPr="00517F29" w:rsidRDefault="00933910" w:rsidP="00933910">
      <w:pPr>
        <w:numPr>
          <w:ilvl w:val="0"/>
          <w:numId w:val="1"/>
        </w:numPr>
        <w:suppressAutoHyphens w:val="0"/>
        <w:spacing w:after="0"/>
        <w:rPr>
          <w:sz w:val="24"/>
          <w:szCs w:val="24"/>
        </w:rPr>
      </w:pPr>
      <w:r w:rsidRPr="00517F29">
        <w:rPr>
          <w:b/>
          <w:i/>
          <w:sz w:val="24"/>
          <w:szCs w:val="24"/>
        </w:rPr>
        <w:t>Sporazum o zračnom prometu Vlade Republike Hrvatske i Vlade Islamske Republike Iran,</w:t>
      </w:r>
      <w:r w:rsidRPr="00517F29">
        <w:rPr>
          <w:sz w:val="24"/>
          <w:szCs w:val="24"/>
        </w:rPr>
        <w:t xml:space="preserve"> (</w:t>
      </w:r>
      <w:r w:rsidRPr="00517F29">
        <w:rPr>
          <w:i/>
          <w:sz w:val="24"/>
          <w:szCs w:val="24"/>
        </w:rPr>
        <w:t>potpisan 29.05.1995., objava u NN-MU 10/1995, stupio na snagu 28.02.2000.</w:t>
      </w:r>
      <w:r w:rsidRPr="00517F29">
        <w:rPr>
          <w:sz w:val="24"/>
          <w:szCs w:val="24"/>
        </w:rPr>
        <w:t>)</w:t>
      </w:r>
    </w:p>
    <w:p w:rsidR="00933910" w:rsidRPr="005A07C7" w:rsidRDefault="00933910" w:rsidP="005A07C7">
      <w:pPr>
        <w:numPr>
          <w:ilvl w:val="0"/>
          <w:numId w:val="1"/>
        </w:numPr>
        <w:suppressAutoHyphens w:val="0"/>
        <w:spacing w:after="0"/>
        <w:rPr>
          <w:sz w:val="24"/>
          <w:szCs w:val="24"/>
        </w:rPr>
      </w:pPr>
      <w:r w:rsidRPr="00517F29">
        <w:rPr>
          <w:b/>
          <w:i/>
          <w:sz w:val="24"/>
          <w:szCs w:val="24"/>
        </w:rPr>
        <w:t>Ugovor o pomorskom prijevozu Vlade Republike Hrvatske i Vlade Islamske Republike Iran,</w:t>
      </w:r>
      <w:r w:rsidRPr="00517F29">
        <w:rPr>
          <w:sz w:val="24"/>
          <w:szCs w:val="24"/>
        </w:rPr>
        <w:t xml:space="preserve"> (</w:t>
      </w:r>
      <w:r w:rsidRPr="00517F29">
        <w:rPr>
          <w:i/>
          <w:sz w:val="24"/>
          <w:szCs w:val="24"/>
        </w:rPr>
        <w:t>potpisan 29.05.1995., objava u NN-MU 3/2001, stupio na snagu 17.04.2001.</w:t>
      </w:r>
      <w:r w:rsidRPr="00517F29">
        <w:rPr>
          <w:sz w:val="24"/>
          <w:szCs w:val="24"/>
        </w:rPr>
        <w:t>)</w:t>
      </w:r>
    </w:p>
    <w:p w:rsidR="00D235F8" w:rsidRPr="00517F29" w:rsidRDefault="00933910" w:rsidP="00D235F8">
      <w:pPr>
        <w:numPr>
          <w:ilvl w:val="0"/>
          <w:numId w:val="1"/>
        </w:numPr>
        <w:suppressAutoHyphens w:val="0"/>
        <w:spacing w:after="0"/>
        <w:rPr>
          <w:i/>
          <w:sz w:val="24"/>
          <w:szCs w:val="24"/>
        </w:rPr>
      </w:pPr>
      <w:r w:rsidRPr="00517F29">
        <w:rPr>
          <w:b/>
          <w:sz w:val="24"/>
          <w:szCs w:val="24"/>
        </w:rPr>
        <w:lastRenderedPageBreak/>
        <w:t>Ugovor između Vlade Republike Hrvatske i Vla</w:t>
      </w:r>
      <w:bookmarkStart w:id="3" w:name="_GoBack"/>
      <w:bookmarkEnd w:id="3"/>
      <w:r w:rsidRPr="00517F29">
        <w:rPr>
          <w:b/>
          <w:sz w:val="24"/>
          <w:szCs w:val="24"/>
        </w:rPr>
        <w:t xml:space="preserve">de Islamske Republike Irana  gospodarskoj suradnji </w:t>
      </w:r>
      <w:r w:rsidRPr="00517F29">
        <w:rPr>
          <w:i/>
          <w:sz w:val="24"/>
          <w:szCs w:val="24"/>
        </w:rPr>
        <w:t>(datum sklapanja: 18.05.2016., objava u NN  2/2017.)</w:t>
      </w:r>
    </w:p>
    <w:p w:rsidR="002A4D51" w:rsidRPr="00517F29" w:rsidRDefault="002A4D51" w:rsidP="002A4D51">
      <w:pPr>
        <w:suppressAutoHyphens w:val="0"/>
        <w:spacing w:after="0"/>
        <w:ind w:left="360"/>
        <w:rPr>
          <w:i/>
          <w:sz w:val="24"/>
          <w:szCs w:val="24"/>
        </w:rPr>
      </w:pPr>
    </w:p>
    <w:p w:rsidR="00D235F8" w:rsidRPr="00517F29" w:rsidRDefault="00D235F8" w:rsidP="002A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eastAsia="Arial"/>
          <w:b/>
          <w:sz w:val="24"/>
          <w:szCs w:val="24"/>
        </w:rPr>
      </w:pPr>
      <w:r w:rsidRPr="00517F29">
        <w:rPr>
          <w:rFonts w:eastAsia="Arial"/>
          <w:b/>
          <w:sz w:val="24"/>
          <w:szCs w:val="24"/>
        </w:rPr>
        <w:t>Javni natječaji i sajmovi</w:t>
      </w:r>
    </w:p>
    <w:p w:rsidR="00D235F8" w:rsidRPr="00517F29" w:rsidRDefault="00D235F8" w:rsidP="002A4D51">
      <w:pPr>
        <w:suppressAutoHyphens w:val="0"/>
        <w:spacing w:after="0" w:line="360" w:lineRule="auto"/>
        <w:jc w:val="left"/>
        <w:rPr>
          <w:sz w:val="24"/>
          <w:szCs w:val="24"/>
        </w:rPr>
      </w:pPr>
      <w:r w:rsidRPr="00517F29">
        <w:rPr>
          <w:sz w:val="24"/>
          <w:szCs w:val="24"/>
        </w:rPr>
        <w:t xml:space="preserve">Javni natječaji u tijeku: </w:t>
      </w:r>
      <w:hyperlink r:id="rId7" w:history="1">
        <w:r w:rsidRPr="00517F29">
          <w:rPr>
            <w:rStyle w:val="Hyperlink"/>
            <w:sz w:val="24"/>
            <w:szCs w:val="24"/>
          </w:rPr>
          <w:t>http://gd.mvep.hr/hr/izvozne-prilike/</w:t>
        </w:r>
      </w:hyperlink>
      <w:r w:rsidRPr="00517F29">
        <w:rPr>
          <w:sz w:val="24"/>
          <w:szCs w:val="24"/>
        </w:rPr>
        <w:t xml:space="preserve"> </w:t>
      </w:r>
      <w:r w:rsidRPr="00517F29">
        <w:rPr>
          <w:sz w:val="24"/>
          <w:szCs w:val="24"/>
        </w:rPr>
        <w:br/>
        <w:t xml:space="preserve">Najave sajmova: </w:t>
      </w:r>
      <w:hyperlink r:id="rId8" w:history="1">
        <w:r w:rsidRPr="00517F29">
          <w:rPr>
            <w:rStyle w:val="Hyperlink"/>
            <w:sz w:val="24"/>
            <w:szCs w:val="24"/>
          </w:rPr>
          <w:t>http://gd.mvep.hr/hr/najave</w:t>
        </w:r>
      </w:hyperlink>
      <w:r w:rsidRPr="00517F29">
        <w:rPr>
          <w:sz w:val="24"/>
          <w:szCs w:val="24"/>
        </w:rPr>
        <w:t xml:space="preserve"> </w:t>
      </w:r>
    </w:p>
    <w:p w:rsidR="00D235F8" w:rsidRPr="00517F29" w:rsidRDefault="00D235F8" w:rsidP="00D235F8">
      <w:pPr>
        <w:rPr>
          <w:rFonts w:eastAsia="Arial"/>
          <w:i/>
          <w:sz w:val="24"/>
          <w:szCs w:val="24"/>
          <w:u w:val="single"/>
        </w:rPr>
      </w:pPr>
    </w:p>
    <w:p w:rsidR="00D235F8" w:rsidRPr="00517F29" w:rsidRDefault="00D235F8" w:rsidP="002A4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eastAsia="Arial"/>
          <w:b/>
          <w:sz w:val="24"/>
          <w:szCs w:val="24"/>
        </w:rPr>
      </w:pPr>
      <w:r w:rsidRPr="00517F29">
        <w:rPr>
          <w:rFonts w:eastAsia="Arial"/>
          <w:b/>
          <w:sz w:val="24"/>
          <w:szCs w:val="24"/>
        </w:rPr>
        <w:t>Posebne napomene</w:t>
      </w:r>
    </w:p>
    <w:p w:rsidR="00D235F8" w:rsidRPr="00517F29" w:rsidRDefault="00D235F8" w:rsidP="00D235F8">
      <w:pPr>
        <w:jc w:val="left"/>
        <w:rPr>
          <w:sz w:val="24"/>
          <w:szCs w:val="24"/>
        </w:rPr>
      </w:pPr>
      <w:r w:rsidRPr="00517F29">
        <w:rPr>
          <w:rFonts w:eastAsia="Arial"/>
          <w:sz w:val="24"/>
          <w:szCs w:val="24"/>
        </w:rPr>
        <w:t xml:space="preserve">Gospodarska diplomacija: </w:t>
      </w:r>
      <w:hyperlink r:id="rId9" w:history="1">
        <w:r w:rsidRPr="00517F29">
          <w:rPr>
            <w:rStyle w:val="Hyperlink"/>
            <w:rFonts w:eastAsia="Arial"/>
            <w:sz w:val="24"/>
            <w:szCs w:val="24"/>
          </w:rPr>
          <w:t>http://gd.mvep.hr</w:t>
        </w:r>
      </w:hyperlink>
    </w:p>
    <w:p w:rsidR="00D235F8" w:rsidRPr="00517F29" w:rsidRDefault="00D05875" w:rsidP="00425367">
      <w:pPr>
        <w:suppressAutoHyphens w:val="0"/>
        <w:spacing w:line="259" w:lineRule="auto"/>
        <w:rPr>
          <w:rFonts w:eastAsia="Arial"/>
          <w:sz w:val="24"/>
          <w:szCs w:val="24"/>
        </w:rPr>
      </w:pPr>
      <w:r w:rsidRPr="00517F29">
        <w:rPr>
          <w:rFonts w:eastAsia="Arial"/>
          <w:sz w:val="24"/>
          <w:szCs w:val="24"/>
        </w:rPr>
        <w:t>Zahtjev za podršku</w:t>
      </w:r>
      <w:r w:rsidR="00D235F8" w:rsidRPr="00517F29">
        <w:rPr>
          <w:rFonts w:eastAsia="Arial"/>
          <w:sz w:val="24"/>
          <w:szCs w:val="24"/>
        </w:rPr>
        <w:t xml:space="preserve"> izvozniku: </w:t>
      </w:r>
      <w:hyperlink r:id="rId10" w:history="1">
        <w:r w:rsidR="00D235F8" w:rsidRPr="00517F29">
          <w:rPr>
            <w:rStyle w:val="Hyperlink"/>
            <w:rFonts w:eastAsia="Arial"/>
            <w:sz w:val="24"/>
            <w:szCs w:val="24"/>
          </w:rPr>
          <w:t>http://gd.mvep.hr/hr/zahtjev-za-podrskom-izvozniku/</w:t>
        </w:r>
      </w:hyperlink>
    </w:p>
    <w:sectPr w:rsidR="00D235F8" w:rsidRPr="00517F29" w:rsidSect="005A7E54">
      <w:footerReference w:type="default" r:id="rId11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4A" w:rsidRDefault="00667A4A" w:rsidP="00D52432">
      <w:pPr>
        <w:spacing w:after="0"/>
      </w:pPr>
      <w:r>
        <w:separator/>
      </w:r>
    </w:p>
  </w:endnote>
  <w:endnote w:type="continuationSeparator" w:id="0">
    <w:p w:rsidR="00667A4A" w:rsidRDefault="00667A4A" w:rsidP="00D524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32" w:rsidRDefault="00D52432" w:rsidP="00D52432"/>
  <w:p w:rsidR="00D52432" w:rsidRDefault="00D52432" w:rsidP="00D52432">
    <w:pPr>
      <w:pStyle w:val="IFooter"/>
    </w:pPr>
    <w:r>
      <w:t xml:space="preserve">Ažurirano: Zagreb, </w:t>
    </w:r>
    <w:r>
      <w:fldChar w:fldCharType="begin"/>
    </w:r>
    <w:r>
      <w:instrText xml:space="preserve"> DATE  \@ "d.M.yyyy." </w:instrText>
    </w:r>
    <w:r>
      <w:fldChar w:fldCharType="separate"/>
    </w:r>
    <w:r w:rsidR="005A07C7">
      <w:rPr>
        <w:noProof/>
      </w:rPr>
      <w:t>22.11.2022.</w:t>
    </w:r>
    <w:r>
      <w:fldChar w:fldCharType="end"/>
    </w:r>
    <w:r>
      <w:tab/>
      <w:t>GOSPODARSKA INFORMACIJA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5A07C7">
      <w:rPr>
        <w:noProof/>
      </w:rPr>
      <w:t>2</w:t>
    </w:r>
    <w:r>
      <w:fldChar w:fldCharType="end"/>
    </w:r>
  </w:p>
  <w:p w:rsidR="00D52432" w:rsidRDefault="00D52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4A" w:rsidRDefault="00667A4A" w:rsidP="00D52432">
      <w:pPr>
        <w:spacing w:after="0"/>
      </w:pPr>
      <w:r>
        <w:separator/>
      </w:r>
    </w:p>
  </w:footnote>
  <w:footnote w:type="continuationSeparator" w:id="0">
    <w:p w:rsidR="00667A4A" w:rsidRDefault="00667A4A" w:rsidP="00D524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38"/>
        </w:tabs>
        <w:ind w:left="738" w:hanging="738"/>
      </w:pPr>
      <w:rPr>
        <w:rFonts w:ascii="StarSymbol" w:hAnsi="StarSymbol" w:cs="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69363E4"/>
    <w:multiLevelType w:val="multilevel"/>
    <w:tmpl w:val="F750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21028"/>
    <w:multiLevelType w:val="hybridMultilevel"/>
    <w:tmpl w:val="6B728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5CCA"/>
    <w:multiLevelType w:val="multilevel"/>
    <w:tmpl w:val="0CB8478C"/>
    <w:lvl w:ilvl="0">
      <w:start w:val="1"/>
      <w:numFmt w:val="decimal"/>
      <w:pStyle w:val="IPod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D15D0A"/>
    <w:multiLevelType w:val="hybridMultilevel"/>
    <w:tmpl w:val="2B7ECA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7A"/>
    <w:rsid w:val="00010D43"/>
    <w:rsid w:val="000656D7"/>
    <w:rsid w:val="0007488C"/>
    <w:rsid w:val="000A31D0"/>
    <w:rsid w:val="000B61B0"/>
    <w:rsid w:val="000D1AE4"/>
    <w:rsid w:val="00112D7A"/>
    <w:rsid w:val="00141DFD"/>
    <w:rsid w:val="0016330E"/>
    <w:rsid w:val="00173719"/>
    <w:rsid w:val="00191A2E"/>
    <w:rsid w:val="00197FCF"/>
    <w:rsid w:val="001B1C80"/>
    <w:rsid w:val="001B45AA"/>
    <w:rsid w:val="001B52AB"/>
    <w:rsid w:val="001C5CA4"/>
    <w:rsid w:val="001D7045"/>
    <w:rsid w:val="002168E0"/>
    <w:rsid w:val="0024286E"/>
    <w:rsid w:val="002455B9"/>
    <w:rsid w:val="00246123"/>
    <w:rsid w:val="00252D6F"/>
    <w:rsid w:val="00265BC8"/>
    <w:rsid w:val="00283C8E"/>
    <w:rsid w:val="00284AEE"/>
    <w:rsid w:val="00287F50"/>
    <w:rsid w:val="002A4D51"/>
    <w:rsid w:val="002E2719"/>
    <w:rsid w:val="003570A9"/>
    <w:rsid w:val="0037544E"/>
    <w:rsid w:val="00381207"/>
    <w:rsid w:val="00386CF6"/>
    <w:rsid w:val="003A6909"/>
    <w:rsid w:val="003C7218"/>
    <w:rsid w:val="003D2C60"/>
    <w:rsid w:val="003D6C6F"/>
    <w:rsid w:val="003D747B"/>
    <w:rsid w:val="003F04C3"/>
    <w:rsid w:val="00411379"/>
    <w:rsid w:val="00420D26"/>
    <w:rsid w:val="00425367"/>
    <w:rsid w:val="00481EEC"/>
    <w:rsid w:val="0048483F"/>
    <w:rsid w:val="004A6E1E"/>
    <w:rsid w:val="004B6C80"/>
    <w:rsid w:val="004B714D"/>
    <w:rsid w:val="004C1C32"/>
    <w:rsid w:val="004C2A40"/>
    <w:rsid w:val="004E669C"/>
    <w:rsid w:val="005077FF"/>
    <w:rsid w:val="00517F29"/>
    <w:rsid w:val="00551412"/>
    <w:rsid w:val="00556DE3"/>
    <w:rsid w:val="0056723E"/>
    <w:rsid w:val="005728FC"/>
    <w:rsid w:val="00584CCD"/>
    <w:rsid w:val="005A07C7"/>
    <w:rsid w:val="005A7E54"/>
    <w:rsid w:val="0060110A"/>
    <w:rsid w:val="00613F29"/>
    <w:rsid w:val="00633EE9"/>
    <w:rsid w:val="00653187"/>
    <w:rsid w:val="00667A4A"/>
    <w:rsid w:val="00671769"/>
    <w:rsid w:val="00686955"/>
    <w:rsid w:val="00687BAC"/>
    <w:rsid w:val="00697E12"/>
    <w:rsid w:val="006A418E"/>
    <w:rsid w:val="006A5A7B"/>
    <w:rsid w:val="006B0E20"/>
    <w:rsid w:val="006B1FA0"/>
    <w:rsid w:val="00715E9C"/>
    <w:rsid w:val="00727576"/>
    <w:rsid w:val="00735C9E"/>
    <w:rsid w:val="00751D70"/>
    <w:rsid w:val="007676D9"/>
    <w:rsid w:val="007679B4"/>
    <w:rsid w:val="007700FE"/>
    <w:rsid w:val="00786790"/>
    <w:rsid w:val="007D0EEB"/>
    <w:rsid w:val="007E123D"/>
    <w:rsid w:val="008017A6"/>
    <w:rsid w:val="00801BD2"/>
    <w:rsid w:val="008106B2"/>
    <w:rsid w:val="008215A8"/>
    <w:rsid w:val="00893352"/>
    <w:rsid w:val="00895E7A"/>
    <w:rsid w:val="008A1212"/>
    <w:rsid w:val="008A6FDF"/>
    <w:rsid w:val="008C3671"/>
    <w:rsid w:val="008D1CBA"/>
    <w:rsid w:val="008D4C4E"/>
    <w:rsid w:val="008D6DF1"/>
    <w:rsid w:val="009258D6"/>
    <w:rsid w:val="009268EB"/>
    <w:rsid w:val="00932334"/>
    <w:rsid w:val="00933910"/>
    <w:rsid w:val="009437E7"/>
    <w:rsid w:val="009B2598"/>
    <w:rsid w:val="009B27A3"/>
    <w:rsid w:val="009C26C2"/>
    <w:rsid w:val="009D18FE"/>
    <w:rsid w:val="009E3B80"/>
    <w:rsid w:val="009F2F2F"/>
    <w:rsid w:val="009F3938"/>
    <w:rsid w:val="00A14C1B"/>
    <w:rsid w:val="00A42183"/>
    <w:rsid w:val="00A646B4"/>
    <w:rsid w:val="00A6470E"/>
    <w:rsid w:val="00A728F4"/>
    <w:rsid w:val="00A75F08"/>
    <w:rsid w:val="00A84C91"/>
    <w:rsid w:val="00AC553F"/>
    <w:rsid w:val="00AC5EC5"/>
    <w:rsid w:val="00AD4149"/>
    <w:rsid w:val="00B42A07"/>
    <w:rsid w:val="00B5101D"/>
    <w:rsid w:val="00B80800"/>
    <w:rsid w:val="00B9248E"/>
    <w:rsid w:val="00BC448A"/>
    <w:rsid w:val="00BC523B"/>
    <w:rsid w:val="00BF43FE"/>
    <w:rsid w:val="00C04371"/>
    <w:rsid w:val="00C175E7"/>
    <w:rsid w:val="00C25159"/>
    <w:rsid w:val="00C3431A"/>
    <w:rsid w:val="00C42FA7"/>
    <w:rsid w:val="00C629E1"/>
    <w:rsid w:val="00C66CCB"/>
    <w:rsid w:val="00C70993"/>
    <w:rsid w:val="00C82438"/>
    <w:rsid w:val="00C95568"/>
    <w:rsid w:val="00CA7EE8"/>
    <w:rsid w:val="00CA7F3A"/>
    <w:rsid w:val="00CD444D"/>
    <w:rsid w:val="00CD45E5"/>
    <w:rsid w:val="00CD560B"/>
    <w:rsid w:val="00D0078A"/>
    <w:rsid w:val="00D05875"/>
    <w:rsid w:val="00D235F8"/>
    <w:rsid w:val="00D3033B"/>
    <w:rsid w:val="00D41412"/>
    <w:rsid w:val="00D52432"/>
    <w:rsid w:val="00D53D15"/>
    <w:rsid w:val="00D64CD0"/>
    <w:rsid w:val="00DA04D8"/>
    <w:rsid w:val="00DA4D9B"/>
    <w:rsid w:val="00DC27E7"/>
    <w:rsid w:val="00E11015"/>
    <w:rsid w:val="00E42C7C"/>
    <w:rsid w:val="00E53F06"/>
    <w:rsid w:val="00E65CF8"/>
    <w:rsid w:val="00E77895"/>
    <w:rsid w:val="00EA7C5D"/>
    <w:rsid w:val="00EB2855"/>
    <w:rsid w:val="00EE6ECD"/>
    <w:rsid w:val="00F136C3"/>
    <w:rsid w:val="00F237EF"/>
    <w:rsid w:val="00F268AE"/>
    <w:rsid w:val="00F311B7"/>
    <w:rsid w:val="00F319C9"/>
    <w:rsid w:val="00F37552"/>
    <w:rsid w:val="00F44CE5"/>
    <w:rsid w:val="00F73710"/>
    <w:rsid w:val="00FA24C9"/>
    <w:rsid w:val="00FB73F3"/>
    <w:rsid w:val="00FF03EB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C6A7"/>
  <w15:docId w15:val="{C70D66D0-6408-4449-88CD-D5D029F2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D7A"/>
    <w:pPr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ormal">
    <w:name w:val="INormal"/>
    <w:basedOn w:val="Normal"/>
    <w:link w:val="INormalChar"/>
    <w:rsid w:val="00112D7A"/>
    <w:pPr>
      <w:tabs>
        <w:tab w:val="left" w:pos="2268"/>
      </w:tabs>
    </w:pPr>
    <w:rPr>
      <w:rFonts w:cs="Times New Roman"/>
      <w:lang w:val="x-none"/>
    </w:rPr>
  </w:style>
  <w:style w:type="character" w:customStyle="1" w:styleId="INormalChar">
    <w:name w:val="INormal Char"/>
    <w:link w:val="INormal"/>
    <w:locked/>
    <w:rsid w:val="00112D7A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TableGrid">
    <w:name w:val="Table Grid"/>
    <w:basedOn w:val="TableNormal"/>
    <w:uiPriority w:val="39"/>
    <w:rsid w:val="001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43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432"/>
    <w:rPr>
      <w:rFonts w:ascii="Arial" w:eastAsia="Times New Roman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5243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43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IFooter">
    <w:name w:val="IFooter"/>
    <w:rsid w:val="00D52432"/>
    <w:pPr>
      <w:pBdr>
        <w:top w:val="single" w:sz="18" w:space="1" w:color="000000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Arial" w:hAnsi="Arial" w:cs="Arial"/>
      <w:sz w:val="16"/>
      <w:szCs w:val="16"/>
      <w:lang w:eastAsia="ar-SA"/>
    </w:rPr>
  </w:style>
  <w:style w:type="character" w:styleId="Hyperlink">
    <w:name w:val="Hyperlink"/>
    <w:semiHidden/>
    <w:unhideWhenUsed/>
    <w:rsid w:val="00D235F8"/>
    <w:rPr>
      <w:color w:val="0000FF"/>
      <w:u w:val="single"/>
    </w:rPr>
  </w:style>
  <w:style w:type="character" w:styleId="Strong">
    <w:name w:val="Strong"/>
    <w:uiPriority w:val="22"/>
    <w:qFormat/>
    <w:rsid w:val="001B45AA"/>
    <w:rPr>
      <w:b/>
      <w:bCs/>
    </w:rPr>
  </w:style>
  <w:style w:type="paragraph" w:customStyle="1" w:styleId="IPodnaslov2">
    <w:name w:val="IPodnaslov2"/>
    <w:next w:val="INormal"/>
    <w:rsid w:val="009E3B80"/>
    <w:pPr>
      <w:keepNext/>
      <w:numPr>
        <w:numId w:val="4"/>
      </w:numPr>
      <w:shd w:val="clear" w:color="auto" w:fill="E6E6E6"/>
      <w:tabs>
        <w:tab w:val="left" w:pos="567"/>
      </w:tabs>
      <w:suppressAutoHyphens/>
      <w:spacing w:before="180" w:after="12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IBul1">
    <w:name w:val="IBul1"/>
    <w:link w:val="IBul1Char"/>
    <w:rsid w:val="009E3B80"/>
    <w:pPr>
      <w:tabs>
        <w:tab w:val="num" w:pos="720"/>
      </w:tabs>
      <w:suppressAutoHyphens/>
      <w:spacing w:after="60" w:line="240" w:lineRule="auto"/>
      <w:ind w:left="720" w:hanging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IBul1Char">
    <w:name w:val="IBul1 Char"/>
    <w:link w:val="IBul1"/>
    <w:rsid w:val="009E3B80"/>
    <w:rPr>
      <w:rFonts w:ascii="Arial" w:eastAsia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F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2F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425367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25367"/>
  </w:style>
  <w:style w:type="paragraph" w:styleId="NormalWeb">
    <w:name w:val="Normal (Web)"/>
    <w:basedOn w:val="Normal"/>
    <w:uiPriority w:val="99"/>
    <w:unhideWhenUsed/>
    <w:rsid w:val="00425367"/>
    <w:pPr>
      <w:suppressAutoHyphens w:val="0"/>
      <w:spacing w:after="0"/>
      <w:jc w:val="left"/>
    </w:pPr>
    <w:rPr>
      <w:rFonts w:ascii="Times New Roman" w:eastAsiaTheme="minorHAns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.mvep.hr/hr/najav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d.mvep.hr/hr/izvozne-prilik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d.mvep.hr/hr/zahtjev-za-podrskom-izvozni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d.mve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MVEP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Adrian Vukojević</cp:lastModifiedBy>
  <cp:revision>18</cp:revision>
  <dcterms:created xsi:type="dcterms:W3CDTF">2022-11-08T15:01:00Z</dcterms:created>
  <dcterms:modified xsi:type="dcterms:W3CDTF">2022-11-22T14:37:00Z</dcterms:modified>
</cp:coreProperties>
</file>